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525145</wp:posOffset>
            </wp:positionH>
            <wp:positionV relativeFrom="page">
              <wp:posOffset>431800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page">
              <wp:posOffset>525145</wp:posOffset>
            </wp:positionH>
            <wp:positionV relativeFrom="page">
              <wp:posOffset>500380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t>UNITED STATES</w:t>
      </w:r>
    </w:p>
    <w:p>
      <w:pPr>
        <w:spacing w:after="0" w:line="42" w:lineRule="exact"/>
        <w:rPr>
          <w:sz w:val="24"/>
          <w:szCs w:val="24"/>
          <w:color w:val="auto"/>
        </w:rPr>
      </w:pPr>
    </w:p>
    <w:p>
      <w:pPr>
        <w:jc w:val="center"/>
        <w:ind w:right="-2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ind w:right="-2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1" w:lineRule="exact"/>
        <w:rPr>
          <w:sz w:val="24"/>
          <w:szCs w:val="24"/>
          <w:color w:val="auto"/>
        </w:rPr>
      </w:pPr>
    </w:p>
    <w:p>
      <w:pPr>
        <w:jc w:val="center"/>
        <w:ind w:right="-2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132" w:lineRule="exact"/>
        <w:rPr>
          <w:sz w:val="24"/>
          <w:szCs w:val="24"/>
          <w:color w:val="auto"/>
        </w:rPr>
      </w:pPr>
    </w:p>
    <w:p>
      <w:pPr>
        <w:jc w:val="center"/>
        <w:ind w:right="-2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8" w:lineRule="exact"/>
        <w:rPr>
          <w:sz w:val="24"/>
          <w:szCs w:val="24"/>
          <w:color w:val="auto"/>
        </w:rPr>
      </w:pPr>
    </w:p>
    <w:p>
      <w:pPr>
        <w:jc w:val="center"/>
        <w:ind w:right="-29"/>
        <w:spacing w:after="0"/>
        <w:rPr>
          <w:sz w:val="20"/>
          <w:szCs w:val="20"/>
          <w:color w:val="auto"/>
        </w:rPr>
      </w:pPr>
      <w:r>
        <w:rPr>
          <w:rFonts w:ascii="Times New Roman" w:cs="Times New Roman" w:eastAsia="Times New Roman" w:hAnsi="Times New Roman"/>
          <w:sz w:val="21"/>
          <w:szCs w:val="21"/>
          <w:b w:val="1"/>
          <w:bCs w:val="1"/>
          <w:color w:val="auto"/>
        </w:rPr>
        <w:t>Pursuant to Section 13 or 15(d) of the Securities Exchange Act of 1934</w:t>
      </w:r>
    </w:p>
    <w:p>
      <w:pPr>
        <w:spacing w:after="0" w:line="122" w:lineRule="exact"/>
        <w:rPr>
          <w:sz w:val="24"/>
          <w:szCs w:val="24"/>
          <w:color w:val="auto"/>
        </w:rPr>
      </w:pPr>
    </w:p>
    <w:p>
      <w:pPr>
        <w:jc w:val="center"/>
        <w:ind w:right="-29"/>
        <w:spacing w:after="0"/>
        <w:rPr>
          <w:sz w:val="20"/>
          <w:szCs w:val="20"/>
          <w:color w:val="auto"/>
        </w:rPr>
      </w:pPr>
      <w:r>
        <w:rPr>
          <w:rFonts w:ascii="Times New Roman" w:cs="Times New Roman" w:eastAsia="Times New Roman" w:hAnsi="Times New Roman"/>
          <w:sz w:val="18"/>
          <w:szCs w:val="18"/>
          <w:color w:val="auto"/>
        </w:rPr>
        <w:t>Date of Report (Date of earliest event reported): March 27,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1626870</wp:posOffset>
            </wp:positionH>
            <wp:positionV relativeFrom="paragraph">
              <wp:posOffset>163195</wp:posOffset>
            </wp:positionV>
            <wp:extent cx="32404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29"/>
        <w:spacing w:after="0"/>
        <w:rPr>
          <w:sz w:val="20"/>
          <w:szCs w:val="20"/>
          <w:color w:val="auto"/>
        </w:rPr>
      </w:pPr>
      <w:r>
        <w:rPr>
          <w:rFonts w:ascii="Times New Roman" w:cs="Times New Roman" w:eastAsia="Times New Roman" w:hAnsi="Times New Roman"/>
          <w:sz w:val="32"/>
          <w:szCs w:val="32"/>
          <w:b w:val="1"/>
          <w:bCs w:val="1"/>
          <w:color w:val="auto"/>
        </w:rPr>
        <w:t>Star Holdings</w:t>
      </w:r>
    </w:p>
    <w:p>
      <w:pPr>
        <w:spacing w:after="0" w:line="147" w:lineRule="exact"/>
        <w:rPr>
          <w:sz w:val="24"/>
          <w:szCs w:val="24"/>
          <w:color w:val="auto"/>
        </w:rPr>
      </w:pPr>
    </w:p>
    <w:p>
      <w:pPr>
        <w:jc w:val="center"/>
        <w:ind w:right="-2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0210"/>
          </w:cols>
          <w:pgMar w:left="830" w:top="898" w:right="859" w:bottom="1440" w:gutter="0" w:footer="0" w:header="0"/>
        </w:sectPr>
      </w:pPr>
    </w:p>
    <w:p>
      <w:pPr>
        <w:spacing w:after="0" w:line="154" w:lineRule="exact"/>
        <w:rPr>
          <w:sz w:val="24"/>
          <w:szCs w:val="24"/>
          <w:color w:val="auto"/>
        </w:rPr>
      </w:pPr>
    </w:p>
    <w:p>
      <w:pPr>
        <w:jc w:val="center"/>
        <w:ind w:left="30"/>
        <w:spacing w:after="0"/>
        <w:rPr>
          <w:sz w:val="20"/>
          <w:szCs w:val="20"/>
          <w:color w:val="auto"/>
        </w:rPr>
      </w:pPr>
      <w:r>
        <w:rPr>
          <w:rFonts w:ascii="Times New Roman" w:cs="Times New Roman" w:eastAsia="Times New Roman" w:hAnsi="Times New Roman"/>
          <w:sz w:val="18"/>
          <w:szCs w:val="18"/>
          <w:b w:val="1"/>
          <w:bCs w:val="1"/>
          <w:color w:val="auto"/>
        </w:rPr>
        <w:t>Maryland</w:t>
      </w:r>
    </w:p>
    <w:p>
      <w:pPr>
        <w:spacing w:after="0" w:line="31" w:lineRule="exact"/>
        <w:rPr>
          <w:sz w:val="24"/>
          <w:szCs w:val="24"/>
          <w:color w:val="auto"/>
        </w:rPr>
      </w:pPr>
    </w:p>
    <w:p>
      <w:pPr>
        <w:jc w:val="center"/>
        <w:ind w:left="3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001-41572</w:t>
      </w:r>
    </w:p>
    <w:p>
      <w:pPr>
        <w:spacing w:after="0" w:line="31"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37-6762818</w:t>
      </w:r>
    </w:p>
    <w:p>
      <w:pPr>
        <w:spacing w:after="0" w:line="31" w:lineRule="exact"/>
        <w:rPr>
          <w:sz w:val="24"/>
          <w:szCs w:val="24"/>
          <w:color w:val="auto"/>
        </w:rPr>
      </w:pPr>
    </w:p>
    <w:p>
      <w:pPr>
        <w:jc w:val="center"/>
        <w:ind w:right="42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11" w:lineRule="exact"/>
        <w:rPr>
          <w:sz w:val="24"/>
          <w:szCs w:val="24"/>
          <w:color w:val="auto"/>
        </w:rPr>
      </w:pPr>
    </w:p>
    <w:p>
      <w:pPr>
        <w:sectPr>
          <w:pgSz w:w="11900" w:h="16838" w:orient="portrait"/>
          <w:cols w:equalWidth="0" w:num="3">
            <w:col w:w="3410" w:space="720"/>
            <w:col w:w="2460" w:space="720"/>
            <w:col w:w="2900"/>
          </w:cols>
          <w:pgMar w:left="830" w:top="898" w:right="859" w:bottom="1440" w:gutter="0" w:footer="0" w:header="0"/>
          <w:type w:val="continuous"/>
        </w:sectPr>
      </w:pPr>
    </w:p>
    <w:p>
      <w:pPr>
        <w:spacing w:after="0" w:line="3"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8"/>
          <w:szCs w:val="18"/>
          <w:b w:val="1"/>
          <w:bCs w:val="1"/>
          <w:color w:val="auto"/>
        </w:rPr>
        <w:t>1114 Avenue of the Americas, 39th Floor</w:t>
      </w:r>
    </w:p>
    <w:p>
      <w:pPr>
        <w:spacing w:after="0" w:line="31"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8"/>
          <w:szCs w:val="18"/>
          <w:b w:val="1"/>
          <w:bCs w:val="1"/>
          <w:color w:val="auto"/>
        </w:rPr>
        <w:t>New York, New York 10036</w:t>
      </w:r>
    </w:p>
    <w:p>
      <w:pPr>
        <w:spacing w:after="0" w:line="9"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122"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(212) 930-9400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1626870</wp:posOffset>
            </wp:positionH>
            <wp:positionV relativeFrom="paragraph">
              <wp:posOffset>88265</wp:posOffset>
            </wp:positionV>
            <wp:extent cx="32404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327"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12" w:lineRule="exact"/>
        <w:rPr>
          <w:sz w:val="24"/>
          <w:szCs w:val="24"/>
          <w:color w:val="auto"/>
        </w:rPr>
      </w:pPr>
    </w:p>
    <w:p>
      <w:pPr>
        <w:ind w:left="1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81" w:lineRule="exact"/>
        <w:rPr>
          <w:sz w:val="24"/>
          <w:szCs w:val="24"/>
          <w:color w:val="auto"/>
        </w:rPr>
      </w:pPr>
    </w:p>
    <w:p>
      <w:pPr>
        <w:ind w:left="210" w:hanging="210"/>
        <w:spacing w:after="0"/>
        <w:tabs>
          <w:tab w:leader="none" w:pos="21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210" w:hanging="210"/>
        <w:spacing w:after="0"/>
        <w:tabs>
          <w:tab w:leader="none" w:pos="21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210" w:hanging="210"/>
        <w:spacing w:after="0"/>
        <w:tabs>
          <w:tab w:leader="none" w:pos="21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left="10" w:right="1960" w:hanging="10"/>
        <w:spacing w:after="0" w:line="390" w:lineRule="auto"/>
        <w:tabs>
          <w:tab w:leader="none" w:pos="21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330" w:type="dxa"/>
        <w:tblCellMar>
          <w:top w:w="0" w:type="dxa"/>
          <w:left w:w="0" w:type="dxa"/>
          <w:bottom w:w="0" w:type="dxa"/>
          <w:right w:w="0" w:type="dxa"/>
        </w:tblCellMar>
      </w:tblPr>
      <w:tr>
        <w:trPr>
          <w:trHeight w:val="235"/>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7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Trading Symbol(s)</w:t>
            </w:r>
          </w:p>
        </w:tc>
        <w:tc>
          <w:tcPr>
            <w:tcW w:w="36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Name of each exchange on which registered</w:t>
            </w:r>
          </w:p>
        </w:tc>
      </w:tr>
      <w:tr>
        <w:trPr>
          <w:trHeight w:val="40"/>
        </w:trPr>
        <w:tc>
          <w:tcPr>
            <w:tcW w:w="418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3340" w:type="dxa"/>
            <w:vAlign w:val="bottom"/>
            <w:tcBorders>
              <w:bottom w:val="single" w:sz="8" w:color="auto"/>
            </w:tcBorders>
          </w:tcPr>
          <w:p>
            <w:pPr>
              <w:spacing w:after="0"/>
              <w:rPr>
                <w:sz w:val="3"/>
                <w:szCs w:val="3"/>
                <w:color w:val="auto"/>
              </w:rPr>
            </w:pPr>
          </w:p>
        </w:tc>
      </w:tr>
      <w:tr>
        <w:trPr>
          <w:trHeight w:val="385"/>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shares of beneficial interest, $0.001 par value</w:t>
            </w:r>
          </w:p>
        </w:tc>
        <w:tc>
          <w:tcPr>
            <w:tcW w:w="280" w:type="dxa"/>
            <w:vAlign w:val="bottom"/>
          </w:tcPr>
          <w:p>
            <w:pPr>
              <w:spacing w:after="0"/>
              <w:rPr>
                <w:sz w:val="24"/>
                <w:szCs w:val="24"/>
                <w:color w:val="auto"/>
              </w:rPr>
            </w:pPr>
          </w:p>
        </w:tc>
        <w:tc>
          <w:tcPr>
            <w:tcW w:w="14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STHO</w:t>
            </w:r>
          </w:p>
        </w:tc>
        <w:tc>
          <w:tcPr>
            <w:tcW w:w="280" w:type="dxa"/>
            <w:vAlign w:val="bottom"/>
          </w:tcPr>
          <w:p>
            <w:pPr>
              <w:spacing w:after="0"/>
              <w:rPr>
                <w:sz w:val="24"/>
                <w:szCs w:val="24"/>
                <w:color w:val="auto"/>
              </w:rPr>
            </w:pPr>
          </w:p>
        </w:tc>
        <w:tc>
          <w:tcPr>
            <w:tcW w:w="33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Nasdaq Global Market</w:t>
            </w:r>
          </w:p>
        </w:tc>
      </w:tr>
    </w:tbl>
    <w:p>
      <w:pPr>
        <w:spacing w:after="0" w:line="117" w:lineRule="exact"/>
        <w:rPr>
          <w:sz w:val="24"/>
          <w:szCs w:val="24"/>
          <w:color w:val="auto"/>
        </w:rPr>
      </w:pPr>
    </w:p>
    <w:p>
      <w:pPr>
        <w:ind w:left="1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7" w:lineRule="exact"/>
        <w:rPr>
          <w:sz w:val="24"/>
          <w:szCs w:val="24"/>
          <w:color w:val="auto"/>
        </w:rPr>
      </w:pPr>
    </w:p>
    <w:p>
      <w:pPr>
        <w:ind w:left="1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4"/>
          <w:szCs w:val="14"/>
          <w:color w:val="auto"/>
        </w:rPr>
        <w:t>☒</w:t>
      </w:r>
    </w:p>
    <w:p>
      <w:pPr>
        <w:spacing w:after="0" w:line="144" w:lineRule="exact"/>
        <w:rPr>
          <w:sz w:val="24"/>
          <w:szCs w:val="24"/>
          <w:color w:val="auto"/>
        </w:rPr>
      </w:pPr>
    </w:p>
    <w:p>
      <w:pPr>
        <w:ind w:left="10"/>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549910</wp:posOffset>
            </wp:positionV>
            <wp:extent cx="6497955"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78105</wp:posOffset>
            </wp:positionV>
            <wp:extent cx="64979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112395</wp:posOffset>
            </wp:positionV>
            <wp:extent cx="6497955"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10"/>
          </w:cols>
          <w:pgMar w:left="830" w:top="898" w:right="859" w:bottom="1440" w:gutter="0" w:footer="0" w:header="0"/>
          <w:type w:val="continuous"/>
        </w:sectPr>
      </w:pPr>
    </w:p>
    <w:bookmarkStart w:id="1" w:name="page2"/>
    <w:bookmarkEnd w:id="1"/>
    <w:p>
      <w:pPr>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Item 2.01</w:t>
      </w:r>
      <w:r>
        <w:rPr>
          <w:sz w:val="20"/>
          <w:szCs w:val="20"/>
          <w:color w:val="auto"/>
        </w:rPr>
        <w:tab/>
      </w:r>
      <w:r>
        <w:rPr>
          <w:rFonts w:ascii="Times New Roman" w:cs="Times New Roman" w:eastAsia="Times New Roman" w:hAnsi="Times New Roman"/>
          <w:sz w:val="17"/>
          <w:szCs w:val="17"/>
          <w:b w:val="1"/>
          <w:bCs w:val="1"/>
          <w:color w:val="212529"/>
        </w:rPr>
        <w:t>Completion of Acquisition or Disposition of Assets</w:t>
      </w:r>
      <w:r>
        <w:rPr>
          <w:rFonts w:ascii="Times New Roman" w:cs="Times New Roman" w:eastAsia="Times New Roman" w:hAnsi="Times New Roman"/>
          <w:sz w:val="17"/>
          <w:szCs w:val="17"/>
          <w:b w:val="1"/>
          <w:bCs w:val="1"/>
          <w:color w:val="000000"/>
        </w:rPr>
        <w:t>.</w:t>
      </w:r>
    </w:p>
    <w:p>
      <w:pPr>
        <w:spacing w:after="0" w:line="189" w:lineRule="exact"/>
        <w:rPr>
          <w:sz w:val="20"/>
          <w:szCs w:val="20"/>
          <w:color w:val="auto"/>
        </w:rPr>
      </w:pPr>
    </w:p>
    <w:p>
      <w:pPr>
        <w:jc w:val="both"/>
        <w:ind w:right="20" w:firstLine="810"/>
        <w:spacing w:after="0" w:line="261" w:lineRule="auto"/>
        <w:rPr>
          <w:sz w:val="20"/>
          <w:szCs w:val="20"/>
          <w:color w:val="auto"/>
        </w:rPr>
      </w:pPr>
      <w:r>
        <w:rPr>
          <w:rFonts w:ascii="Times New Roman" w:cs="Times New Roman" w:eastAsia="Times New Roman" w:hAnsi="Times New Roman"/>
          <w:sz w:val="18"/>
          <w:szCs w:val="18"/>
          <w:color w:val="auto"/>
        </w:rPr>
        <w:t>In connection with the repayment of a loan by a joint venture related to a multifamily development project, Star Holdings (the “Company”) determined that the venture should be deconsolidated for financial reporting purposes, effective as of the March 27, 2026 repayment date when the Company’s guarantee to a third-party lender was released. No consideration was transferred as part of this transaction. For additional information, please see the accompanying pro forma financial information.</w:t>
      </w:r>
    </w:p>
    <w:p>
      <w:pPr>
        <w:spacing w:after="0" w:line="392"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389" w:lineRule="exact"/>
        <w:rPr>
          <w:sz w:val="20"/>
          <w:szCs w:val="20"/>
          <w:color w:val="auto"/>
        </w:rPr>
      </w:pPr>
    </w:p>
    <w:p>
      <w:pPr>
        <w:ind w:left="1180" w:hanging="704"/>
        <w:spacing w:after="0"/>
        <w:tabs>
          <w:tab w:leader="none" w:pos="11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Unaudited Pro Forma Financial Information.</w:t>
      </w:r>
    </w:p>
    <w:p>
      <w:pPr>
        <w:spacing w:after="0" w:line="18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212529"/>
        </w:rPr>
        <w:t>The pro forma financial information of the Company reflecting the deconsolidation of the venture is filed as exhibit 99.1 and incorporated herein by reference.</w:t>
      </w:r>
    </w:p>
    <w:p>
      <w:pPr>
        <w:spacing w:after="0" w:line="121" w:lineRule="exact"/>
        <w:rPr>
          <w:sz w:val="20"/>
          <w:szCs w:val="20"/>
          <w:color w:val="auto"/>
        </w:rPr>
      </w:pPr>
    </w:p>
    <w:p>
      <w:pPr>
        <w:ind w:left="880"/>
        <w:spacing w:after="0"/>
        <w:tabs>
          <w:tab w:leader="none" w:pos="1920" w:val="left"/>
        </w:tabs>
        <w:rPr>
          <w:sz w:val="20"/>
          <w:szCs w:val="20"/>
          <w:color w:val="auto"/>
        </w:rPr>
      </w:pPr>
      <w:r>
        <w:rPr>
          <w:rFonts w:ascii="Times New Roman" w:cs="Times New Roman" w:eastAsia="Times New Roman" w:hAnsi="Times New Roman"/>
          <w:sz w:val="18"/>
          <w:szCs w:val="18"/>
          <w:color w:val="auto"/>
        </w:rPr>
        <w:t>Exhibit 99.1</w:t>
      </w:r>
      <w:r>
        <w:rPr>
          <w:sz w:val="20"/>
          <w:szCs w:val="20"/>
          <w:color w:val="auto"/>
        </w:rPr>
        <w:tab/>
      </w:r>
      <w:r>
        <w:rPr>
          <w:rFonts w:ascii="Times New Roman" w:cs="Times New Roman" w:eastAsia="Times New Roman" w:hAnsi="Times New Roman"/>
          <w:sz w:val="17"/>
          <w:szCs w:val="17"/>
          <w:u w:val="single" w:color="auto"/>
          <w:color w:val="0000EE"/>
        </w:rPr>
        <w:t>Pro Forma Financial Information</w:t>
      </w:r>
      <w:r>
        <w:rPr>
          <w:rFonts w:ascii="Times New Roman" w:cs="Times New Roman" w:eastAsia="Times New Roman" w:hAnsi="Times New Roman"/>
          <w:sz w:val="17"/>
          <w:szCs w:val="17"/>
          <w:color w:val="000000"/>
        </w:rPr>
        <w:t>.</w:t>
      </w:r>
    </w:p>
    <w:p>
      <w:pPr>
        <w:spacing w:after="0" w:line="185" w:lineRule="exact"/>
        <w:rPr>
          <w:sz w:val="20"/>
          <w:szCs w:val="20"/>
          <w:color w:val="auto"/>
        </w:rPr>
      </w:pPr>
    </w:p>
    <w:p>
      <w:pPr>
        <w:ind w:left="880"/>
        <w:spacing w:after="0"/>
        <w:tabs>
          <w:tab w:leader="none" w:pos="1920" w:val="left"/>
        </w:tabs>
        <w:rPr>
          <w:sz w:val="20"/>
          <w:szCs w:val="20"/>
          <w:color w:val="auto"/>
        </w:rPr>
      </w:pPr>
      <w:r>
        <w:rPr>
          <w:rFonts w:ascii="Times New Roman" w:cs="Times New Roman" w:eastAsia="Times New Roman" w:hAnsi="Times New Roman"/>
          <w:sz w:val="18"/>
          <w:szCs w:val="18"/>
          <w:color w:val="auto"/>
        </w:rPr>
        <w:t>Exhibit 104</w:t>
      </w:r>
      <w:r>
        <w:rPr>
          <w:sz w:val="20"/>
          <w:szCs w:val="20"/>
          <w:color w:val="auto"/>
        </w:rPr>
        <w:tab/>
      </w:r>
      <w:r>
        <w:rPr>
          <w:rFonts w:ascii="Times New Roman" w:cs="Times New Roman" w:eastAsia="Times New Roman" w:hAnsi="Times New Roman"/>
          <w:sz w:val="17"/>
          <w:szCs w:val="17"/>
          <w:color w:val="auto"/>
        </w:rPr>
        <w:t>Inline XBRL for the cover page of this Current Report on 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617220</wp:posOffset>
            </wp:positionV>
            <wp:extent cx="649795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117" w:right="8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SIGNATURE</w:t>
      </w:r>
    </w:p>
    <w:p>
      <w:pPr>
        <w:spacing w:after="0" w:line="189" w:lineRule="exact"/>
        <w:rPr>
          <w:sz w:val="20"/>
          <w:szCs w:val="20"/>
          <w:color w:val="auto"/>
        </w:rPr>
      </w:pPr>
    </w:p>
    <w:p>
      <w:pPr>
        <w:ind w:left="20" w:firstLine="81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Star Holdings</w:t>
            </w:r>
          </w:p>
        </w:tc>
      </w:tr>
      <w:tr>
        <w:trPr>
          <w:trHeight w:val="432"/>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April 1, 2026</w:t>
            </w:r>
          </w:p>
        </w:tc>
        <w:tc>
          <w:tcPr>
            <w:tcW w:w="2080" w:type="dxa"/>
            <w:vAlign w:val="bottom"/>
          </w:tcPr>
          <w:p>
            <w:pPr>
              <w:ind w:left="1820"/>
              <w:spacing w:after="0"/>
              <w:rPr>
                <w:sz w:val="20"/>
                <w:szCs w:val="20"/>
                <w:color w:val="auto"/>
              </w:rPr>
            </w:pPr>
            <w:r>
              <w:rPr>
                <w:rFonts w:ascii="Times New Roman" w:cs="Times New Roman" w:eastAsia="Times New Roman" w:hAnsi="Times New Roman"/>
                <w:sz w:val="18"/>
                <w:szCs w:val="18"/>
                <w:color w:val="auto"/>
                <w:w w:val="92"/>
              </w:rPr>
              <w:t>By:</w:t>
            </w:r>
          </w:p>
        </w:tc>
        <w:tc>
          <w:tcPr>
            <w:tcW w:w="40" w:type="dxa"/>
            <w:vAlign w:val="bottom"/>
          </w:tcPr>
          <w:p>
            <w:pPr>
              <w:spacing w:after="0"/>
              <w:rPr>
                <w:sz w:val="24"/>
                <w:szCs w:val="24"/>
                <w:color w:val="auto"/>
              </w:rPr>
            </w:pPr>
          </w:p>
        </w:tc>
        <w:tc>
          <w:tcPr>
            <w:tcW w:w="4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BRETT ASNAS</w:t>
            </w:r>
          </w:p>
        </w:tc>
      </w:tr>
      <w:tr>
        <w:trPr>
          <w:trHeight w:val="189"/>
        </w:trPr>
        <w:tc>
          <w:tcPr>
            <w:tcW w:w="330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Brett Asnas</w:t>
            </w:r>
          </w:p>
        </w:tc>
      </w:tr>
      <w:tr>
        <w:trPr>
          <w:trHeight w:val="216"/>
        </w:trPr>
        <w:tc>
          <w:tcPr>
            <w:tcW w:w="33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Chief Financial Officer</w:t>
            </w:r>
          </w:p>
        </w:tc>
      </w:tr>
      <w:tr>
        <w:trPr>
          <w:trHeight w:val="236"/>
        </w:trPr>
        <w:tc>
          <w:tcPr>
            <w:tcW w:w="33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financial officer)</w:t>
            </w:r>
          </w:p>
        </w:tc>
      </w:tr>
      <w:tr>
        <w:trPr>
          <w:trHeight w:val="1208"/>
        </w:trPr>
        <w:tc>
          <w:tcPr>
            <w:tcW w:w="330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r>
    </w:tbl>
    <w:p>
      <w:pPr>
        <w:sectPr>
          <w:pgSz w:w="11900" w:h="16838" w:orient="portrait"/>
          <w:cols w:equalWidth="0" w:num="1">
            <w:col w:w="10240"/>
          </w:cols>
          <w:pgMar w:left="820" w:top="117" w:right="8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Star Holdings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 Forma Financial Information</w:t>
      </w:r>
    </w:p>
    <w:p>
      <w:pPr>
        <w:spacing w:after="0" w:line="20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December 2023, Star Holdings (the “Company”) transferred the ownership interests in a subsidiary land owner to a third-party venture (the “Venture”) for its development and construction of a multifamily project in Asbury Park, NJ (the “Project”). In connection with this transfer, the Company (i) provided the Venture with a $10.6 million mezzanine loan that was fully funded at closing and was secured by the ownership interests in the subsidiary land owner and scheduled to mature in June 2033; and (ii) provided a completion and carry guaranty (the “Guaranty”) on the Venture’s $80.0 million senior construction mortgage loan with a third-party lender in return for a fee. The Company was a non-member manager of the Venture and entitled to certain fees, but otherwise had no expected member-related economics.</w:t>
      </w:r>
    </w:p>
    <w:p>
      <w:pPr>
        <w:spacing w:after="0" w:line="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Company determined that the Venture (and its consolidated subsidiaries developing the Project) was a variable interest entity for which the Company was the primary beneficiary and thus consolidated it under Accounting Standards Codification 810 (“ASC 810”). As a result, for accounting purposes, the Venture was recorded in the Company’s consolidated financial statements and the mezzanine loan eliminated in consolidation. On March 27, 2026, the mezzanine loan was repaid in full and the Guaranty was released. The Company also resigned as manager of the Venture in conjunction with the repayment of the mezzanine loan and the release of the Guaranty. As such, the Company no longer controls the decision-making of the Venture and the Venture was deconsolidated in accordance with ASC 810.</w:t>
      </w:r>
    </w:p>
    <w:p>
      <w:pPr>
        <w:spacing w:after="0" w:line="7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unaudited condensed consolidated pro forma balance sheet and the unaudited condensed consolidated pro forma statement of operations assume that the deconsolidation of the Venture occurred on December 31, 2025 and January 1, 2025, respectively. The unaudited pro forma adjustments are based on available information and certain estimates and assumptions that the Company believes are directly attributable to the transaction.</w:t>
      </w:r>
    </w:p>
    <w:p>
      <w:pPr>
        <w:spacing w:after="0" w:line="7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Pro forma adjustments include: (i) the derecognition of all assets, liabilities, noncontrolling interests, revenues and expenses associated with the Venture; (ii) the transfer of miscellaneous operating accounts such as prepaid expenses and other assets, accrued expenses, unearned rents and other items; (iii) the recognition of a sale of a land and development asset to the Venture; and (iv) the transfer of restricted cash to unrestricted cash.</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pro forma consolidated balance sheet and statement of operations are presented for informational purposes only in accordance with Article 11 of Regulation S-X and is not necessarily indicative of what the Company's financial position or operations would have been for the periods presented, nor does it purport to represent the future financial position or operations of the Company. The pro forma financial information should be read in conjunction with the historical consolidated financial statements and notes thereto as filed in the Company's 2025 Annual Report on Form 10-K.</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506095</wp:posOffset>
            </wp:positionV>
            <wp:extent cx="607758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077585" cy="25400"/>
                    </a:xfrm>
                    <a:prstGeom prst="rect">
                      <a:avLst/>
                    </a:prstGeom>
                    <a:noFill/>
                  </pic:spPr>
                </pic:pic>
              </a:graphicData>
            </a:graphic>
          </wp:anchor>
        </w:drawing>
      </w:r>
    </w:p>
    <w:p>
      <w:pPr>
        <w:sectPr>
          <w:pgSz w:w="11900" w:h="16838" w:orient="portrait"/>
          <w:cols w:equalWidth="0" w:num="1">
            <w:col w:w="9580"/>
          </w:cols>
          <w:pgMar w:left="1240" w:top="347" w:right="1079" w:bottom="1440" w:gutter="0" w:footer="0" w:header="0"/>
        </w:sectPr>
      </w:pPr>
    </w:p>
    <w:bookmarkStart w:id="4" w:name="page5"/>
    <w:bookmarkEnd w:id="4"/>
    <w:p>
      <w:pPr>
        <w:ind w:firstLine="648"/>
        <w:spacing w:after="0" w:line="282" w:lineRule="auto"/>
        <w:rPr>
          <w:sz w:val="20"/>
          <w:szCs w:val="20"/>
          <w:color w:val="auto"/>
        </w:rPr>
      </w:pPr>
      <w:r>
        <w:rPr>
          <w:rFonts w:ascii="Times New Roman" w:cs="Times New Roman" w:eastAsia="Times New Roman" w:hAnsi="Times New Roman"/>
          <w:sz w:val="18"/>
          <w:szCs w:val="18"/>
          <w:color w:val="auto"/>
        </w:rPr>
        <w:t>The pro forma impact to the Company’s consolidated balance sheet, assuming the deconsolidation of the Venture occurred on December 31, 2025, would be as follows: (in thousands)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Pro</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22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Information</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Adjustments</w:t>
            </w:r>
          </w:p>
        </w:tc>
        <w:tc>
          <w:tcPr>
            <w:tcW w:w="3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Forma</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380" w:type="dxa"/>
            <w:vAlign w:val="bottom"/>
            <w:tcBorders>
              <w:bottom w:val="single" w:sz="8" w:color="CCEEFF"/>
            </w:tcBorders>
          </w:tcPr>
          <w:p>
            <w:pPr>
              <w:spacing w:after="0"/>
              <w:rPr>
                <w:sz w:val="2"/>
                <w:szCs w:val="2"/>
                <w:color w:val="auto"/>
              </w:rPr>
            </w:pPr>
          </w:p>
        </w:tc>
        <w:tc>
          <w:tcPr>
            <w:tcW w:w="262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380" w:type="dxa"/>
            <w:vAlign w:val="bottom"/>
            <w:shd w:val="clear" w:color="auto" w:fill="CCEEFF"/>
          </w:tcPr>
          <w:p>
            <w:pPr>
              <w:spacing w:after="0"/>
              <w:rPr>
                <w:sz w:val="20"/>
                <w:szCs w:val="20"/>
                <w:color w:val="auto"/>
              </w:rPr>
            </w:pPr>
          </w:p>
        </w:tc>
        <w:tc>
          <w:tcPr>
            <w:tcW w:w="2620" w:type="dxa"/>
            <w:vAlign w:val="bottom"/>
            <w:shd w:val="clear" w:color="auto" w:fill="CCEEFF"/>
          </w:tcPr>
          <w:p>
            <w:pPr>
              <w:jc w:val="center"/>
              <w:ind w:right="1070"/>
              <w:spacing w:after="0"/>
              <w:rPr>
                <w:sz w:val="20"/>
                <w:szCs w:val="20"/>
                <w:color w:val="auto"/>
              </w:rPr>
            </w:pPr>
            <w:r>
              <w:rPr>
                <w:rFonts w:ascii="Times New Roman" w:cs="Times New Roman" w:eastAsia="Times New Roman" w:hAnsi="Times New Roman"/>
                <w:sz w:val="18"/>
                <w:szCs w:val="18"/>
                <w:b w:val="1"/>
                <w:bCs w:val="1"/>
                <w:color w:val="auto"/>
                <w:w w:val="98"/>
              </w:rPr>
              <w:t>ASSETS</w:t>
            </w: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Real estate</w:t>
            </w: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20"/>
                <w:szCs w:val="20"/>
                <w:color w:val="auto"/>
              </w:rPr>
            </w:pPr>
          </w:p>
        </w:tc>
        <w:tc>
          <w:tcPr>
            <w:tcW w:w="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20"/>
                <w:szCs w:val="20"/>
                <w:color w:val="auto"/>
              </w:rPr>
            </w:pP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50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Real estate, at cost</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179,062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(80,024)</w:t>
            </w:r>
          </w:p>
        </w:tc>
        <w:tc>
          <w:tcPr>
            <w:tcW w:w="3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99,038</w:t>
            </w: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50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(29,713)</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1,588</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(28,125)</w:t>
            </w: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000" w:type="dxa"/>
            <w:vAlign w:val="bottom"/>
            <w:tcBorders>
              <w:top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Real estate, net</w:t>
            </w:r>
          </w:p>
        </w:tc>
        <w:tc>
          <w:tcPr>
            <w:tcW w:w="14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149,349</w:t>
            </w:r>
          </w:p>
        </w:tc>
        <w:tc>
          <w:tcPr>
            <w:tcW w:w="18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auto"/>
            </w:tcBorders>
            <w:shd w:val="clear" w:color="auto" w:fill="CCEEFF"/>
          </w:tcPr>
          <w:p>
            <w:pPr>
              <w:spacing w:after="0"/>
              <w:rPr>
                <w:sz w:val="20"/>
                <w:szCs w:val="20"/>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(78,436)</w:t>
            </w:r>
          </w:p>
        </w:tc>
        <w:tc>
          <w:tcPr>
            <w:tcW w:w="16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70,913</w:t>
            </w:r>
          </w:p>
        </w:tc>
        <w:tc>
          <w:tcPr>
            <w:tcW w:w="2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Land and development, net</w:t>
            </w: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112,836</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(9,890)</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102,946</w:t>
            </w:r>
          </w:p>
        </w:tc>
        <w:tc>
          <w:tcPr>
            <w:tcW w:w="1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5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receivable and other lending investments, net ($578 of allowances as of</w:t>
            </w:r>
          </w:p>
        </w:tc>
        <w:tc>
          <w:tcPr>
            <w:tcW w:w="7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5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2025)</w:t>
            </w:r>
          </w:p>
        </w:tc>
        <w:tc>
          <w:tcPr>
            <w:tcW w:w="1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44,095</w:t>
            </w:r>
          </w:p>
        </w:tc>
        <w:tc>
          <w:tcPr>
            <w:tcW w:w="1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44,095</w:t>
            </w: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investments</w:t>
            </w: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185,125</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185,125</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5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50,078</w:t>
            </w:r>
          </w:p>
        </w:tc>
        <w:tc>
          <w:tcPr>
            <w:tcW w:w="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14,024</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64,102</w:t>
            </w: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interest and operating lease income receivable, net</w:t>
            </w: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1,508</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1,508</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5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operating lease income receivable, net</w:t>
            </w: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expenses and other assets, net</w:t>
            </w: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26,774</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(4,327)</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22,447</w:t>
            </w:r>
          </w:p>
        </w:tc>
        <w:tc>
          <w:tcPr>
            <w:tcW w:w="1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000" w:type="dxa"/>
            <w:vAlign w:val="bottom"/>
            <w:tcBorders>
              <w:top w:val="single" w:sz="8" w:color="CCEEFF"/>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Total assets</w:t>
            </w:r>
          </w:p>
        </w:tc>
        <w:tc>
          <w:tcPr>
            <w:tcW w:w="14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570,197</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(78,629)</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491,568</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gridSpan w:val="2"/>
            <w:vMerge w:val="restart"/>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w w:val="99"/>
              </w:rPr>
              <w:t>LIABILITIES AND EQUITY</w:t>
            </w: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gridSpan w:val="2"/>
            <w:vMerge w:val="continue"/>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4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spacing w:after="0"/>
              <w:rPr>
                <w:sz w:val="22"/>
                <w:szCs w:val="22"/>
                <w:color w:val="auto"/>
              </w:rPr>
            </w:pPr>
          </w:p>
        </w:tc>
        <w:tc>
          <w:tcPr>
            <w:tcW w:w="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spacing w:after="0"/>
              <w:rPr>
                <w:sz w:val="22"/>
                <w:szCs w:val="22"/>
                <w:color w:val="auto"/>
              </w:rPr>
            </w:pP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35,610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(3,540)</w:t>
            </w:r>
          </w:p>
        </w:tc>
        <w:tc>
          <w:tcPr>
            <w:tcW w:w="3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32,070</w:t>
            </w:r>
          </w:p>
        </w:tc>
        <w:tc>
          <w:tcPr>
            <w:tcW w:w="1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5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obligations, net</w:t>
            </w: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268,721</w:t>
            </w:r>
          </w:p>
        </w:tc>
        <w:tc>
          <w:tcPr>
            <w:tcW w:w="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(63,497)</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205,224</w:t>
            </w: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000" w:type="dxa"/>
            <w:vAlign w:val="bottom"/>
            <w:tcBorders>
              <w:bottom w:val="single" w:sz="8" w:color="CCEEFF"/>
            </w:tcBorders>
            <w:gridSpan w:val="2"/>
          </w:tcPr>
          <w:p>
            <w:pPr>
              <w:ind w:left="80"/>
              <w:spacing w:after="0"/>
              <w:rPr>
                <w:sz w:val="20"/>
                <w:szCs w:val="20"/>
                <w:color w:val="auto"/>
              </w:rPr>
            </w:pPr>
            <w:r>
              <w:rPr>
                <w:rFonts w:ascii="Times New Roman" w:cs="Times New Roman" w:eastAsia="Times New Roman" w:hAnsi="Times New Roman"/>
                <w:sz w:val="18"/>
                <w:szCs w:val="18"/>
                <w:color w:val="auto"/>
              </w:rPr>
              <w:t>Total liabilities</w:t>
            </w:r>
          </w:p>
        </w:tc>
        <w:tc>
          <w:tcPr>
            <w:tcW w:w="142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304,331</w:t>
            </w:r>
          </w:p>
        </w:tc>
        <w:tc>
          <w:tcPr>
            <w:tcW w:w="180" w:type="dxa"/>
            <w:vAlign w:val="bottom"/>
            <w:tcBorders>
              <w:bottom w:val="single" w:sz="8" w:color="CCEEFF"/>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(67,037)</w:t>
            </w:r>
          </w:p>
        </w:tc>
        <w:tc>
          <w:tcPr>
            <w:tcW w:w="16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237,294</w:t>
            </w:r>
          </w:p>
        </w:tc>
        <w:tc>
          <w:tcPr>
            <w:tcW w:w="20" w:type="dxa"/>
            <w:vAlign w:val="bottom"/>
            <w:tcBorders>
              <w:top w:val="single" w:sz="8" w:color="auto"/>
              <w:bottom w:val="single" w:sz="8" w:color="auto"/>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20"/>
                <w:szCs w:val="20"/>
                <w:color w:val="auto"/>
              </w:rPr>
            </w:pPr>
          </w:p>
        </w:tc>
        <w:tc>
          <w:tcPr>
            <w:tcW w:w="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20"/>
                <w:szCs w:val="20"/>
                <w:color w:val="auto"/>
              </w:rPr>
            </w:pP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5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Star Holdings shareholders' equity:</w:t>
            </w: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spacing w:after="0"/>
              <w:rPr>
                <w:sz w:val="21"/>
                <w:szCs w:val="21"/>
                <w:color w:val="auto"/>
              </w:rPr>
            </w:pPr>
          </w:p>
        </w:tc>
        <w:tc>
          <w:tcPr>
            <w:tcW w:w="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spacing w:after="0"/>
              <w:rPr>
                <w:sz w:val="21"/>
                <w:szCs w:val="21"/>
                <w:color w:val="auto"/>
              </w:rPr>
            </w:pP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Common Stock, $0.001 par value, 200,000 shares authorized, 12,318</w:t>
            </w:r>
          </w:p>
        </w:tc>
        <w:tc>
          <w:tcPr>
            <w:tcW w:w="1520" w:type="dxa"/>
            <w:vAlign w:val="bottom"/>
            <w:gridSpan w:val="2"/>
          </w:tcPr>
          <w:p>
            <w:pPr>
              <w:jc w:val="right"/>
              <w:ind w:right="436"/>
              <w:spacing w:after="0"/>
              <w:rPr>
                <w:sz w:val="20"/>
                <w:szCs w:val="20"/>
                <w:color w:val="auto"/>
              </w:rPr>
            </w:pPr>
            <w:r>
              <w:rPr>
                <w:rFonts w:ascii="Times New Roman" w:cs="Times New Roman" w:eastAsia="Times New Roman" w:hAnsi="Times New Roman"/>
                <w:sz w:val="18"/>
                <w:szCs w:val="18"/>
                <w:color w:val="auto"/>
              </w:rPr>
              <w:t>shares issued</w:t>
            </w: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5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and outstanding as of December 31, 2025</w:t>
            </w: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599,623</w:t>
            </w:r>
          </w:p>
        </w:tc>
        <w:tc>
          <w:tcPr>
            <w:tcW w:w="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599,623</w:t>
            </w: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000" w:type="dxa"/>
            <w:vAlign w:val="bottom"/>
            <w:gridSpan w:val="2"/>
          </w:tcPr>
          <w:p>
            <w:pPr>
              <w:spacing w:after="0" w:line="162" w:lineRule="exact"/>
              <w:rPr>
                <w:sz w:val="20"/>
                <w:szCs w:val="20"/>
                <w:color w:val="auto"/>
              </w:rPr>
            </w:pPr>
            <w:r>
              <w:rPr>
                <w:rFonts w:ascii="Times New Roman" w:cs="Times New Roman" w:eastAsia="Times New Roman" w:hAnsi="Times New Roman"/>
                <w:sz w:val="18"/>
                <w:szCs w:val="18"/>
                <w:color w:val="auto"/>
              </w:rPr>
              <w:t>Accumulated deficit</w:t>
            </w: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8"/>
                <w:szCs w:val="18"/>
                <w:color w:val="auto"/>
              </w:rPr>
              <w:t>(347,445)</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Times New Roman" w:cs="Times New Roman" w:eastAsia="Times New Roman" w:hAnsi="Times New Roman"/>
                <w:sz w:val="18"/>
                <w:szCs w:val="18"/>
                <w:color w:val="auto"/>
              </w:rPr>
              <w:t>1,244</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Times New Roman" w:cs="Times New Roman" w:eastAsia="Times New Roman" w:hAnsi="Times New Roman"/>
                <w:sz w:val="18"/>
                <w:szCs w:val="18"/>
                <w:color w:val="auto"/>
              </w:rPr>
              <w:t>(346,201)</w:t>
            </w:r>
          </w:p>
        </w:tc>
        <w:tc>
          <w:tcPr>
            <w:tcW w:w="18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380" w:type="dxa"/>
            <w:vAlign w:val="bottom"/>
          </w:tcPr>
          <w:p>
            <w:pPr>
              <w:spacing w:after="0"/>
              <w:rPr>
                <w:sz w:val="3"/>
                <w:szCs w:val="3"/>
                <w:color w:val="auto"/>
              </w:rPr>
            </w:pPr>
          </w:p>
        </w:tc>
        <w:tc>
          <w:tcPr>
            <w:tcW w:w="26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20" w:type="dxa"/>
            <w:vAlign w:val="bottom"/>
            <w:vMerge w:val="restart"/>
          </w:tcPr>
          <w:p>
            <w:pPr>
              <w:spacing w:after="0"/>
              <w:rPr>
                <w:sz w:val="3"/>
                <w:szCs w:val="3"/>
                <w:color w:val="auto"/>
              </w:rPr>
            </w:pPr>
          </w:p>
        </w:tc>
        <w:tc>
          <w:tcPr>
            <w:tcW w:w="2380" w:type="dxa"/>
            <w:vAlign w:val="bottom"/>
          </w:tcPr>
          <w:p>
            <w:pPr>
              <w:spacing w:after="0"/>
              <w:rPr>
                <w:sz w:val="3"/>
                <w:szCs w:val="3"/>
                <w:color w:val="auto"/>
              </w:rPr>
            </w:pPr>
          </w:p>
        </w:tc>
        <w:tc>
          <w:tcPr>
            <w:tcW w:w="26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4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80" w:type="dxa"/>
            <w:vAlign w:val="bottom"/>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20" w:type="dxa"/>
            <w:vAlign w:val="bottom"/>
            <w:tcBorders>
              <w:bottom w:val="single" w:sz="8" w:color="auto"/>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5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Star Holdings shareholders' equity</w:t>
            </w: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251,766</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253,010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5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14,100</w:t>
            </w:r>
          </w:p>
        </w:tc>
        <w:tc>
          <w:tcPr>
            <w:tcW w:w="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(12,836)</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000" w:type="dxa"/>
            <w:vAlign w:val="bottom"/>
            <w:tcBorders>
              <w:bottom w:val="single" w:sz="8" w:color="CCEEFF"/>
            </w:tcBorders>
            <w:gridSpan w:val="2"/>
          </w:tcPr>
          <w:p>
            <w:pPr>
              <w:ind w:left="80"/>
              <w:spacing w:after="0"/>
              <w:rPr>
                <w:sz w:val="20"/>
                <w:szCs w:val="20"/>
                <w:color w:val="auto"/>
              </w:rPr>
            </w:pPr>
            <w:r>
              <w:rPr>
                <w:rFonts w:ascii="Times New Roman" w:cs="Times New Roman" w:eastAsia="Times New Roman" w:hAnsi="Times New Roman"/>
                <w:sz w:val="18"/>
                <w:szCs w:val="18"/>
                <w:color w:val="auto"/>
              </w:rPr>
              <w:t>Total equity</w:t>
            </w:r>
          </w:p>
        </w:tc>
        <w:tc>
          <w:tcPr>
            <w:tcW w:w="142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265,866</w:t>
            </w:r>
          </w:p>
        </w:tc>
        <w:tc>
          <w:tcPr>
            <w:tcW w:w="180" w:type="dxa"/>
            <w:vAlign w:val="bottom"/>
            <w:tcBorders>
              <w:bottom w:val="single" w:sz="8" w:color="CCEEFF"/>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(11,592)</w:t>
            </w:r>
          </w:p>
        </w:tc>
        <w:tc>
          <w:tcPr>
            <w:tcW w:w="16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254,274</w:t>
            </w:r>
          </w:p>
        </w:tc>
        <w:tc>
          <w:tcPr>
            <w:tcW w:w="20" w:type="dxa"/>
            <w:vAlign w:val="bottom"/>
            <w:tcBorders>
              <w:top w:val="single" w:sz="8" w:color="auto"/>
              <w:bottom w:val="single" w:sz="8" w:color="auto"/>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00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570,197</w:t>
            </w:r>
          </w:p>
        </w:tc>
        <w:tc>
          <w:tcPr>
            <w:tcW w:w="1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(78,629)</w:t>
            </w:r>
          </w:p>
        </w:tc>
        <w:tc>
          <w:tcPr>
            <w:tcW w:w="1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491,568</w:t>
            </w:r>
          </w:p>
        </w:tc>
        <w:tc>
          <w:tcPr>
            <w:tcW w:w="2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2380" w:type="dxa"/>
            <w:vAlign w:val="bottom"/>
            <w:tcBorders>
              <w:bottom w:val="single" w:sz="8" w:color="auto"/>
            </w:tcBorders>
          </w:tcPr>
          <w:p>
            <w:pPr>
              <w:spacing w:after="0"/>
              <w:rPr>
                <w:sz w:val="8"/>
                <w:szCs w:val="8"/>
                <w:color w:val="auto"/>
              </w:rPr>
            </w:pPr>
          </w:p>
        </w:tc>
        <w:tc>
          <w:tcPr>
            <w:tcW w:w="26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jc w:val="both"/>
        <w:ind w:left="320" w:hanging="320"/>
        <w:spacing w:after="0" w:line="261" w:lineRule="auto"/>
        <w:tabs>
          <w:tab w:leader="none" w:pos="3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transfer of the carrying value of real estate, at cost (comprised primarily of buildings), accumulated depreciation, land and development, net, deferred expenses and other assets, net (comprised primarily of $2.0 million of restricted cash), accounts payable, accrued expenses and other liabilities, debt obligations, net and noncontrolling interests associated with the Venture. Land and development, net also includes the transfer of $0.8 million in tax increment financing bonds. Deferred expenses and other assets, net also includes the transfer of $2.1 million of restricted cash to cash and cash equivalents.</w:t>
      </w:r>
    </w:p>
    <w:p>
      <w:pPr>
        <w:jc w:val="both"/>
        <w:ind w:left="320" w:right="20" w:hanging="320"/>
        <w:spacing w:after="0" w:line="254" w:lineRule="auto"/>
        <w:tabs>
          <w:tab w:leader="none" w:pos="3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$10.6 million of cash proceeds from the sale of a land and development asset to the Venture, $2.1 million of cash proceeds for accrued interest on the mezzanine loan, the transfer of $2.1 million of restricted cash to cash and cash equivalents resulting from the completion of project milestones at the Venture, partially offset by the transfer of $0.8 million of carrying value of cash and cash equivalents at the Venture.</w:t>
      </w:r>
    </w:p>
    <w:p>
      <w:pPr>
        <w:spacing w:after="0" w:line="1" w:lineRule="exact"/>
        <w:rPr>
          <w:rFonts w:ascii="Times New Roman" w:cs="Times New Roman" w:eastAsia="Times New Roman" w:hAnsi="Times New Roman"/>
          <w:sz w:val="14"/>
          <w:szCs w:val="14"/>
          <w:color w:val="auto"/>
        </w:rPr>
      </w:pPr>
    </w:p>
    <w:p>
      <w:pPr>
        <w:ind w:left="320" w:right="20" w:hanging="320"/>
        <w:spacing w:after="0" w:line="283" w:lineRule="auto"/>
        <w:tabs>
          <w:tab w:leader="none" w:pos="3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 gain of $1.5 million on the sale of a land and development asset to the Venture, partially offset by a $0.2 million loss on the deconsolidation of the Venture.</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360045</wp:posOffset>
            </wp:positionV>
            <wp:extent cx="607758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077585" cy="25400"/>
                    </a:xfrm>
                    <a:prstGeom prst="rect">
                      <a:avLst/>
                    </a:prstGeom>
                    <a:noFill/>
                  </pic:spPr>
                </pic:pic>
              </a:graphicData>
            </a:graphic>
          </wp:anchor>
        </w:drawing>
      </w:r>
    </w:p>
    <w:p>
      <w:pPr>
        <w:sectPr>
          <w:pgSz w:w="11900" w:h="16838" w:orient="portrait"/>
          <w:cols w:equalWidth="0" w:num="1">
            <w:col w:w="9580"/>
          </w:cols>
          <w:pgMar w:left="1240" w:top="486" w:right="1079" w:bottom="1440" w:gutter="0" w:footer="0" w:header="0"/>
        </w:sectPr>
      </w:pPr>
    </w:p>
    <w:bookmarkStart w:id="5" w:name="page6"/>
    <w:bookmarkEnd w:id="5"/>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pro forma impact to the Company’s consolidated statement of operations for the year ended December 31, 2025, assuming the deconsolidation of the Venture occurred on January 1, 2025, would be as follows: (in thousands, except per share data)</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Pro</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Information</w:t>
            </w:r>
          </w:p>
        </w:tc>
        <w:tc>
          <w:tcPr>
            <w:tcW w:w="20" w:type="dxa"/>
            <w:vAlign w:val="bottom"/>
          </w:tcPr>
          <w:p>
            <w:pPr>
              <w:spacing w:after="0"/>
              <w:rPr>
                <w:sz w:val="17"/>
                <w:szCs w:val="17"/>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Adjustments</w:t>
            </w:r>
          </w:p>
        </w:tc>
        <w:tc>
          <w:tcPr>
            <w:tcW w:w="3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Forma</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400" w:type="dxa"/>
            <w:vAlign w:val="bottom"/>
            <w:gridSpan w:val="2"/>
          </w:tcPr>
          <w:p>
            <w:pPr>
              <w:spacing w:after="0"/>
              <w:rPr>
                <w:sz w:val="2"/>
                <w:szCs w:val="2"/>
                <w:color w:val="auto"/>
              </w:rPr>
            </w:pPr>
          </w:p>
        </w:tc>
        <w:tc>
          <w:tcPr>
            <w:tcW w:w="3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8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44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78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shd w:val="clear" w:color="auto" w:fill="CCEEFF"/>
          </w:tcPr>
          <w:p>
            <w:pPr>
              <w:spacing w:after="0"/>
              <w:rPr>
                <w:sz w:val="20"/>
                <w:szCs w:val="20"/>
                <w:color w:val="auto"/>
              </w:rPr>
            </w:pPr>
          </w:p>
        </w:tc>
        <w:tc>
          <w:tcPr>
            <w:tcW w:w="820" w:type="dxa"/>
            <w:vAlign w:val="bottom"/>
            <w:tcBorders>
              <w:top w:val="single" w:sz="8" w:color="auto"/>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auto"/>
            </w:tcBorders>
            <w:shd w:val="clear" w:color="auto" w:fill="CCEEFF"/>
          </w:tcPr>
          <w:p>
            <w:pPr>
              <w:spacing w:after="0"/>
              <w:rPr>
                <w:sz w:val="20"/>
                <w:szCs w:val="20"/>
                <w:color w:val="auto"/>
              </w:rPr>
            </w:pPr>
          </w:p>
        </w:tc>
        <w:tc>
          <w:tcPr>
            <w:tcW w:w="740" w:type="dxa"/>
            <w:vAlign w:val="bottom"/>
            <w:tcBorders>
              <w:top w:val="single" w:sz="8" w:color="auto"/>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58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Operating lease income</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7,425</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7,162</w:t>
            </w:r>
          </w:p>
        </w:tc>
        <w:tc>
          <w:tcPr>
            <w:tcW w:w="200" w:type="dxa"/>
            <w:vAlign w:val="bottom"/>
          </w:tcPr>
          <w:p>
            <w:pPr>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58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Interest income</w:t>
            </w:r>
          </w:p>
        </w:tc>
        <w:tc>
          <w:tcPr>
            <w:tcW w:w="4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4,533</w:t>
            </w: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4,533</w:t>
            </w:r>
          </w:p>
        </w:tc>
        <w:tc>
          <w:tcPr>
            <w:tcW w:w="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58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Other income</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51,747</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52,202</w:t>
            </w:r>
          </w:p>
        </w:tc>
        <w:tc>
          <w:tcPr>
            <w:tcW w:w="200" w:type="dxa"/>
            <w:vAlign w:val="bottom"/>
          </w:tcPr>
          <w:p>
            <w:pPr>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58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Land development revenue</w:t>
            </w:r>
          </w:p>
        </w:tc>
        <w:tc>
          <w:tcPr>
            <w:tcW w:w="44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46,438</w:t>
            </w:r>
          </w:p>
        </w:tc>
        <w:tc>
          <w:tcPr>
            <w:tcW w:w="20" w:type="dxa"/>
            <w:vAlign w:val="bottom"/>
            <w:tcBorders>
              <w:bottom w:val="single" w:sz="8" w:color="auto"/>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10,600</w:t>
            </w:r>
          </w:p>
        </w:tc>
        <w:tc>
          <w:tcPr>
            <w:tcW w:w="2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57,038</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80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8"/>
                <w:szCs w:val="18"/>
                <w:color w:val="auto"/>
              </w:rPr>
              <w:t>Total revenues</w:t>
            </w:r>
          </w:p>
        </w:tc>
        <w:tc>
          <w:tcPr>
            <w:tcW w:w="4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110,143</w:t>
            </w: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10,792</w:t>
            </w:r>
          </w:p>
        </w:tc>
        <w:tc>
          <w:tcPr>
            <w:tcW w:w="2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120,935</w:t>
            </w:r>
          </w:p>
        </w:tc>
        <w:tc>
          <w:tcPr>
            <w:tcW w:w="2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58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Interest expense</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18,368</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(2,524)</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15,844</w:t>
            </w:r>
          </w:p>
        </w:tc>
        <w:tc>
          <w:tcPr>
            <w:tcW w:w="200" w:type="dxa"/>
            <w:vAlign w:val="bottom"/>
          </w:tcPr>
          <w:p>
            <w:pPr>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58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Real estate expense</w:t>
            </w:r>
          </w:p>
        </w:tc>
        <w:tc>
          <w:tcPr>
            <w:tcW w:w="4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49,672</w:t>
            </w: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48,876</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58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Land development cost of sales</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28,758</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9,120</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37,878</w:t>
            </w:r>
          </w:p>
        </w:tc>
        <w:tc>
          <w:tcPr>
            <w:tcW w:w="200" w:type="dxa"/>
            <w:vAlign w:val="bottom"/>
          </w:tcPr>
          <w:p>
            <w:pPr>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58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5,215</w:t>
            </w: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w:t>
            </w: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3,627</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58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14,564</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14,556</w:t>
            </w:r>
          </w:p>
        </w:tc>
        <w:tc>
          <w:tcPr>
            <w:tcW w:w="200" w:type="dxa"/>
            <w:vAlign w:val="bottom"/>
          </w:tcPr>
          <w:p>
            <w:pPr>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58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Provision for (recovery of) loan losses</w:t>
            </w:r>
          </w:p>
        </w:tc>
        <w:tc>
          <w:tcPr>
            <w:tcW w:w="4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5800" w:type="dxa"/>
            <w:vAlign w:val="bottom"/>
            <w:tcBorders>
              <w:bottom w:val="single" w:sz="8" w:color="CCEEFF"/>
            </w:tcBorders>
            <w:gridSpan w:val="2"/>
          </w:tcPr>
          <w:p>
            <w:pPr>
              <w:ind w:left="80"/>
              <w:spacing w:after="0"/>
              <w:rPr>
                <w:sz w:val="20"/>
                <w:szCs w:val="20"/>
                <w:color w:val="auto"/>
              </w:rPr>
            </w:pPr>
            <w:r>
              <w:rPr>
                <w:rFonts w:ascii="Times New Roman" w:cs="Times New Roman" w:eastAsia="Times New Roman" w:hAnsi="Times New Roman"/>
                <w:sz w:val="18"/>
                <w:szCs w:val="18"/>
                <w:color w:val="auto"/>
              </w:rPr>
              <w:t>Other expense</w:t>
            </w:r>
          </w:p>
        </w:tc>
        <w:tc>
          <w:tcPr>
            <w:tcW w:w="4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2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8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costs and expenses</w:t>
            </w:r>
          </w:p>
        </w:tc>
        <w:tc>
          <w:tcPr>
            <w:tcW w:w="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116,046</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4,440</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120,486</w:t>
            </w: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8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Unrealized gains (losses) on equity investments</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(64,774)</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(64,774)</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5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operations before other items and income taxes</w:t>
            </w:r>
          </w:p>
        </w:tc>
        <w:tc>
          <w:tcPr>
            <w:tcW w:w="4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(70,677)</w:t>
            </w: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6,352</w:t>
            </w: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(64,325)</w:t>
            </w:r>
          </w:p>
        </w:tc>
        <w:tc>
          <w:tcPr>
            <w:tcW w:w="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5800" w:type="dxa"/>
            <w:vAlign w:val="bottom"/>
            <w:tcBorders>
              <w:bottom w:val="single" w:sz="8" w:color="CCEEFF"/>
            </w:tcBorders>
            <w:gridSpan w:val="2"/>
          </w:tcPr>
          <w:p>
            <w:pPr>
              <w:ind w:left="80"/>
              <w:spacing w:after="0"/>
              <w:rPr>
                <w:sz w:val="20"/>
                <w:szCs w:val="20"/>
                <w:color w:val="auto"/>
              </w:rPr>
            </w:pPr>
            <w:r>
              <w:rPr>
                <w:rFonts w:ascii="Times New Roman" w:cs="Times New Roman" w:eastAsia="Times New Roman" w:hAnsi="Times New Roman"/>
                <w:sz w:val="18"/>
                <w:szCs w:val="18"/>
                <w:color w:val="auto"/>
              </w:rPr>
              <w:t>Loss on early extinguishment of debt, net</w:t>
            </w:r>
          </w:p>
        </w:tc>
        <w:tc>
          <w:tcPr>
            <w:tcW w:w="4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from operations before income taxes</w:t>
            </w:r>
          </w:p>
        </w:tc>
        <w:tc>
          <w:tcPr>
            <w:tcW w:w="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(70,747)</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6,352</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(64,395)</w:t>
            </w: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5800" w:type="dxa"/>
            <w:vAlign w:val="bottom"/>
            <w:tcBorders>
              <w:bottom w:val="single" w:sz="8" w:color="CCEEFF"/>
            </w:tcBorders>
            <w:gridSpan w:val="2"/>
          </w:tcPr>
          <w:p>
            <w:pPr>
              <w:ind w:left="80"/>
              <w:spacing w:after="0"/>
              <w:rPr>
                <w:sz w:val="20"/>
                <w:szCs w:val="20"/>
                <w:color w:val="auto"/>
              </w:rPr>
            </w:pPr>
            <w:r>
              <w:rPr>
                <w:rFonts w:ascii="Times New Roman" w:cs="Times New Roman" w:eastAsia="Times New Roman" w:hAnsi="Times New Roman"/>
                <w:sz w:val="18"/>
                <w:szCs w:val="18"/>
                <w:color w:val="auto"/>
              </w:rPr>
              <w:t>Income tax expense</w:t>
            </w:r>
          </w:p>
        </w:tc>
        <w:tc>
          <w:tcPr>
            <w:tcW w:w="4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(70,774)</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6,352</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(64,422)</w:t>
            </w: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5800" w:type="dxa"/>
            <w:vAlign w:val="bottom"/>
            <w:tcBorders>
              <w:bottom w:val="single" w:sz="8" w:color="CCEEFF"/>
            </w:tcBorders>
            <w:gridSpan w:val="2"/>
          </w:tcPr>
          <w:p>
            <w:pPr>
              <w:ind w:left="80"/>
              <w:spacing w:after="0"/>
              <w:rPr>
                <w:sz w:val="20"/>
                <w:szCs w:val="20"/>
                <w:color w:val="auto"/>
              </w:rPr>
            </w:pPr>
            <w:r>
              <w:rPr>
                <w:rFonts w:ascii="Times New Roman" w:cs="Times New Roman" w:eastAsia="Times New Roman" w:hAnsi="Times New Roman"/>
                <w:sz w:val="18"/>
                <w:szCs w:val="18"/>
                <w:color w:val="auto"/>
              </w:rPr>
              <w:t>Net (income) loss from operations attributable to noncontrolling interests</w:t>
            </w:r>
          </w:p>
        </w:tc>
        <w:tc>
          <w:tcPr>
            <w:tcW w:w="4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6,525</w:t>
            </w: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(6,525)</w:t>
            </w:r>
          </w:p>
        </w:tc>
        <w:tc>
          <w:tcPr>
            <w:tcW w:w="2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8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allocable to common shareholders</w:t>
            </w:r>
          </w:p>
        </w:tc>
        <w:tc>
          <w:tcPr>
            <w:tcW w:w="4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(64,249)</w:t>
            </w:r>
          </w:p>
        </w:tc>
        <w:tc>
          <w:tcPr>
            <w:tcW w:w="2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2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(64,422)</w:t>
            </w:r>
          </w:p>
        </w:tc>
        <w:tc>
          <w:tcPr>
            <w:tcW w:w="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Per common share data:</w:t>
            </w: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820" w:type="dxa"/>
            <w:vAlign w:val="bottom"/>
            <w:gridSpan w:val="3"/>
            <w:vMerge w:val="continue"/>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8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Net income (loss) allocable to common shareholders</w:t>
            </w:r>
          </w:p>
        </w:tc>
        <w:tc>
          <w:tcPr>
            <w:tcW w:w="4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300" w:type="dxa"/>
            <w:vAlign w:val="bottom"/>
            <w:gridSpan w:val="3"/>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spacing w:after="0"/>
              <w:rPr>
                <w:sz w:val="21"/>
                <w:szCs w:val="21"/>
                <w:color w:val="auto"/>
              </w:rPr>
            </w:pPr>
          </w:p>
        </w:tc>
        <w:tc>
          <w:tcPr>
            <w:tcW w:w="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58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Basic and diluted</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C2C2C"/>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2C2C2C"/>
              </w:rPr>
              <w:t>(4.90)</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2C2C2C"/>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2C2C2C"/>
              </w:rPr>
              <w:t>(0.01)</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C2C2C"/>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C2C2C"/>
              </w:rPr>
              <w:t>(4.91)</w:t>
            </w:r>
            <w:r>
              <w:rPr>
                <w:rFonts w:ascii="Times New Roman" w:cs="Times New Roman" w:eastAsia="Times New Roman" w:hAnsi="Times New Roman"/>
                <w:sz w:val="13"/>
                <w:szCs w:val="13"/>
                <w:color w:val="000000"/>
              </w:rPr>
              <w:t>(4)</w:t>
            </w:r>
          </w:p>
        </w:tc>
        <w:tc>
          <w:tcPr>
            <w:tcW w:w="0" w:type="dxa"/>
            <w:vAlign w:val="bottom"/>
          </w:tcPr>
          <w:p>
            <w:pPr>
              <w:spacing w:after="0"/>
              <w:rPr>
                <w:sz w:val="1"/>
                <w:szCs w:val="1"/>
                <w:color w:val="auto"/>
              </w:rPr>
            </w:pPr>
          </w:p>
        </w:tc>
      </w:tr>
      <w:tr>
        <w:trPr>
          <w:trHeight w:val="247"/>
        </w:trPr>
        <w:tc>
          <w:tcPr>
            <w:tcW w:w="20" w:type="dxa"/>
            <w:vAlign w:val="bottom"/>
            <w:vMerge w:val="restart"/>
          </w:tcPr>
          <w:p>
            <w:pPr>
              <w:spacing w:after="0"/>
              <w:rPr>
                <w:sz w:val="21"/>
                <w:szCs w:val="21"/>
                <w:color w:val="auto"/>
              </w:rPr>
            </w:pPr>
          </w:p>
        </w:tc>
        <w:tc>
          <w:tcPr>
            <w:tcW w:w="2380" w:type="dxa"/>
            <w:vAlign w:val="bottom"/>
            <w:shd w:val="clear" w:color="auto" w:fill="CCEEFF"/>
          </w:tcPr>
          <w:p>
            <w:pPr>
              <w:spacing w:after="0"/>
              <w:rPr>
                <w:sz w:val="21"/>
                <w:szCs w:val="21"/>
                <w:color w:val="auto"/>
              </w:rPr>
            </w:pPr>
          </w:p>
        </w:tc>
        <w:tc>
          <w:tcPr>
            <w:tcW w:w="34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vMerge w:val="continue"/>
          </w:tcPr>
          <w:p>
            <w:pPr>
              <w:spacing w:after="0"/>
              <w:rPr>
                <w:sz w:val="20"/>
                <w:szCs w:val="20"/>
                <w:color w:val="auto"/>
              </w:rPr>
            </w:pPr>
          </w:p>
        </w:tc>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of common shares:</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gridSpan w:val="3"/>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20"/>
                <w:szCs w:val="20"/>
                <w:color w:val="auto"/>
              </w:rPr>
            </w:pPr>
          </w:p>
        </w:tc>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58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Basic and diluted</w:t>
            </w:r>
          </w:p>
        </w:tc>
        <w:tc>
          <w:tcPr>
            <w:tcW w:w="4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13,109</w:t>
            </w: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13,109</w:t>
            </w:r>
          </w:p>
        </w:tc>
        <w:tc>
          <w:tcPr>
            <w:tcW w:w="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380" w:type="dxa"/>
            <w:vAlign w:val="bottom"/>
            <w:tcBorders>
              <w:bottom w:val="single" w:sz="8" w:color="auto"/>
            </w:tcBorders>
          </w:tcPr>
          <w:p>
            <w:pPr>
              <w:spacing w:after="0"/>
              <w:rPr>
                <w:sz w:val="10"/>
                <w:szCs w:val="10"/>
                <w:color w:val="auto"/>
              </w:rPr>
            </w:pPr>
          </w:p>
        </w:tc>
        <w:tc>
          <w:tcPr>
            <w:tcW w:w="3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320" w:right="20" w:hanging="320"/>
        <w:spacing w:after="0" w:line="263" w:lineRule="auto"/>
        <w:tabs>
          <w:tab w:leader="none" w:pos="3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transfer of the operating lease income, other income, interest expense, real estate expense, depreciation and amortization, general and administrative and net income (loss) from operations attributable to noncontrolling interests associated with the Venture.</w:t>
      </w:r>
    </w:p>
    <w:p>
      <w:pPr>
        <w:ind w:left="320" w:right="20" w:hanging="320"/>
        <w:spacing w:after="0" w:line="251" w:lineRule="auto"/>
        <w:tabs>
          <w:tab w:leader="none" w:pos="3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recognition of $10.6 million land and development revenue and $9.1 million in land development cost of sales associated with the sale of a land and development asset to the Venture.</w:t>
      </w:r>
    </w:p>
    <w:p>
      <w:pPr>
        <w:ind w:left="320" w:hanging="320"/>
        <w:spacing w:after="0"/>
        <w:tabs>
          <w:tab w:leader="none" w:pos="3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loss on deconsolidation of the Venture.</w:t>
      </w:r>
    </w:p>
    <w:p>
      <w:pPr>
        <w:spacing w:after="0" w:line="11" w:lineRule="exact"/>
        <w:rPr>
          <w:rFonts w:ascii="Times New Roman" w:cs="Times New Roman" w:eastAsia="Times New Roman" w:hAnsi="Times New Roman"/>
          <w:sz w:val="14"/>
          <w:szCs w:val="14"/>
          <w:color w:val="auto"/>
        </w:rPr>
      </w:pPr>
    </w:p>
    <w:p>
      <w:pPr>
        <w:ind w:left="320" w:hanging="320"/>
        <w:spacing w:after="0"/>
        <w:tabs>
          <w:tab w:leader="none" w:pos="3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pro forma adjustments impact to net income (loss) per share allocable to common shareholders.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360045</wp:posOffset>
            </wp:positionV>
            <wp:extent cx="607758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077585" cy="17145"/>
                    </a:xfrm>
                    <a:prstGeom prst="rect">
                      <a:avLst/>
                    </a:prstGeom>
                    <a:noFill/>
                  </pic:spPr>
                </pic:pic>
              </a:graphicData>
            </a:graphic>
          </wp:anchor>
        </w:drawing>
      </w:r>
    </w:p>
    <w:sectPr>
      <w:pgSz w:w="11900" w:h="16838" w:orient="portrait"/>
      <w:cols w:equalWidth="0" w:num="1">
        <w:col w:w="9580"/>
      </w:cols>
      <w:pgMar w:left="1240" w:top="486" w:right="10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2"/>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2026-04-01T15:15:16Z</dcterms:created>
  <dcterms:modified xsi:type="dcterms:W3CDTF">2026-04-01T15:15:16Z</dcterms:modified>
</cp:coreProperties>
</file>