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ind w:left="0" w:right="0" w:hanging="0"/>
        <w:jc w:val="left"/>
        <w:rPr/>
      </w:pPr>
      <w:hyperlink w:anchor="TOC">
        <w:bookmarkStart w:id="0" w:name="stho-20260331x10q.htm"/>
        <w:bookmarkStart w:id="1" w:name="ksstho20260331x10q"/>
        <w:bookmarkEnd w:id="0"/>
        <w:bookmarkEnd w:id="1"/>
        <w:r>
          <w:rPr>
            <w:rStyle w:val="InternetLink"/>
            <w:rFonts w:ascii="Times New Roman;Times;serif" w:hAnsi="Times New Roman;Times;serif"/>
            <w:b w:val="false"/>
            <w:i w:val="false"/>
            <w:caps w:val="false"/>
            <w:smallCaps w:val="false"/>
            <w:color w:val="0563C1"/>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Consolidate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cb8e3a02_2dba_43e1_a61c_2c25a05102d3"/>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jO2-8dIthUegtXJuvE4ORw_7_0"/>
      <w:bookmarkStart w:id="4" w:name="Tc_1ydZwc9gEEyXaHkSu99meg_6_1"/>
      <w:bookmarkStart w:id="5" w:name="Tc_jvOtVf7p1ESWaacYfUAatQ_5_0"/>
      <w:bookmarkStart w:id="6" w:name="Tc_E-3JL2g5jEm-33JR6Vxcpw_3_0"/>
      <w:bookmarkStart w:id="7" w:name="Tc_jq-E6JzNjkuJHCNUrLf8nA_2_1"/>
      <w:bookmarkStart w:id="8" w:name="Tc_A3_PBsL_IkO6sc0If5rWGQ_1_0"/>
      <w:bookmarkStart w:id="9" w:name="_86ffef3c_3476_4e64_a4a6_0050295f0ed7"/>
      <w:bookmarkStart w:id="10" w:name="Tc_jO2-8dIthUegtXJuvE4ORw_7_0"/>
      <w:bookmarkStart w:id="11" w:name="Tc_1ydZwc9gEEyXaHkSu99meg_6_1"/>
      <w:bookmarkStart w:id="12" w:name="Tc_jvOtVf7p1ESWaacYfUAatQ_5_0"/>
      <w:bookmarkStart w:id="13" w:name="Tc_E-3JL2g5jEm-33JR6Vxcpw_3_0"/>
      <w:bookmarkStart w:id="14" w:name="Tc_jq-E6JzNjkuJHCNUrLf8nA_2_1"/>
      <w:bookmarkStart w:id="15" w:name="Tc_A3_PBsL_IkO6sc0If5rWGQ_1_0"/>
      <w:bookmarkStart w:id="16" w:name="_86ffef3c_3476_4e64_a4a6_0050295f0ed7"/>
      <w:bookmarkEnd w:id="10"/>
      <w:bookmarkEnd w:id="11"/>
      <w:bookmarkEnd w:id="12"/>
      <w:bookmarkEnd w:id="13"/>
      <w:bookmarkEnd w:id="14"/>
      <w:bookmarkEnd w:id="15"/>
      <w:bookmarkEnd w:id="16"/>
    </w:p>
    <w:tbl>
      <w:tblPr>
        <w:tblW w:w="3690" w:type="dxa"/>
        <w:jc w:val="left"/>
        <w:tblInd w:w="0" w:type="dxa"/>
        <w:tblLayout w:type="fixed"/>
        <w:tblCellMar>
          <w:top w:w="0" w:type="dxa"/>
          <w:left w:w="0" w:type="dxa"/>
          <w:bottom w:w="0" w:type="dxa"/>
          <w:right w:w="0" w:type="dxa"/>
        </w:tblCellMar>
      </w:tblPr>
      <w:tblGrid>
        <w:gridCol w:w="3094"/>
        <w:gridCol w:w="596"/>
      </w:tblGrid>
      <w:tr>
        <w:trPr/>
        <w:tc>
          <w:tcPr>
            <w:tcW w:w="309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 One)</w:t>
            </w:r>
          </w:p>
        </w:tc>
        <w:tc>
          <w:tcPr>
            <w:tcW w:w="596" w:type="dxa"/>
            <w:tcBorders/>
            <w:vAlign w:val="center"/>
          </w:tcPr>
          <w:p>
            <w:pPr>
              <w:pStyle w:val="TableContents"/>
              <w:bidi w:val="0"/>
              <w:spacing w:before="0" w:after="0"/>
              <w:ind w:left="0" w:right="0" w:hanging="0"/>
              <w:jc w:val="left"/>
              <w:rPr/>
            </w:pPr>
            <w:r>
              <w:rPr/>
              <w:t> </w:t>
            </w:r>
          </w:p>
        </w:tc>
      </w:tr>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64690" cy="175260"/>
                      <wp:effectExtent l="0" t="0" r="0" b="0"/>
                      <wp:wrapNone/>
                      <wp:docPr id="1" name="Frame1"/>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78460" cy="2103120"/>
                      <wp:effectExtent l="0" t="0" r="0" b="0"/>
                      <wp:wrapNone/>
                      <wp:docPr id="2" name="Frame2"/>
                      <a:graphic xmlns:a="http://schemas.openxmlformats.org/drawingml/2006/main">
                        <a:graphicData uri="http://schemas.microsoft.com/office/word/2010/wordprocessingShape">
                          <wps:wsp>
                            <wps:cNvSpPr txBox="1"/>
                            <wps:spPr>
                              <a:xfrm>
                                <a:off x="0" y="0"/>
                                <a:ext cx="378460" cy="21031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xbxContent>
                      </v:textbox>
                      <w10:wrap type="none"/>
                    </v:rect>
                  </w:pict>
                </mc:Fallback>
              </mc:AlternateConten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w: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tc>
      </w:tr>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64690" cy="175260"/>
                      <wp:effectExtent l="0" t="0" r="0" b="0"/>
                      <wp:wrapNone/>
                      <wp:docPr id="3" name="Frame3"/>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78460" cy="2103120"/>
                      <wp:effectExtent l="0" t="0" r="0" b="0"/>
                      <wp:wrapNone/>
                      <wp:docPr id="4" name="Frame4"/>
                      <a:graphic xmlns:a="http://schemas.openxmlformats.org/drawingml/2006/main">
                        <a:graphicData uri="http://schemas.microsoft.com/office/word/2010/wordprocessingShape">
                          <wps:wsp>
                            <wps:cNvSpPr txBox="1"/>
                            <wps:spPr>
                              <a:xfrm>
                                <a:off x="0" y="0"/>
                                <a:ext cx="378460" cy="21031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xbxContent>
                      </v:textbox>
                      <w10:wrap type="none"/>
                    </v:rect>
                  </w:pict>
                </mc:Fallback>
              </mc:AlternateConten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001-41572</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Star Holdings</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BIa8nnGnfUOKeDmXBh1-hQ_5_2"/>
      <w:bookmarkStart w:id="18" w:name="Tc_IgohA5tQ9Ea34VuG_coSTA_5_0"/>
      <w:bookmarkStart w:id="19" w:name="Tc_W9pdO___gECHpn5MF_p82A_4_0"/>
      <w:bookmarkStart w:id="20" w:name="Tc_mRWNqfm3uUixlHHoy-rXUA_2_2"/>
      <w:bookmarkStart w:id="21" w:name="Tc_0S-NFrntnkuvX9P1Vjg0Cg_2_0"/>
      <w:bookmarkStart w:id="22" w:name="_0241af9d_63b4_419e_9575_9273ce9ef23f"/>
      <w:bookmarkStart w:id="23" w:name="Tc_BIa8nnGnfUOKeDmXBh1-hQ_5_2"/>
      <w:bookmarkStart w:id="24" w:name="Tc_IgohA5tQ9Ea34VuG_coSTA_5_0"/>
      <w:bookmarkStart w:id="25" w:name="Tc_W9pdO___gECHpn5MF_p82A_4_0"/>
      <w:bookmarkStart w:id="26" w:name="Tc_mRWNqfm3uUixlHHoy-rXUA_2_2"/>
      <w:bookmarkStart w:id="27" w:name="Tc_0S-NFrntnkuvX9P1Vjg0Cg_2_0"/>
      <w:bookmarkStart w:id="28" w:name="_0241af9d_63b4_419e_9575_9273ce9ef23f"/>
      <w:bookmarkEnd w:id="23"/>
      <w:bookmarkEnd w:id="24"/>
      <w:bookmarkEnd w:id="25"/>
      <w:bookmarkEnd w:id="26"/>
      <w:bookmarkEnd w:id="27"/>
      <w:bookmarkEnd w:id="28"/>
    </w:p>
    <w:tbl>
      <w:tblPr>
        <w:tblW w:w="424" w:type="dxa"/>
        <w:jc w:val="left"/>
        <w:tblInd w:w="0" w:type="dxa"/>
        <w:tblLayout w:type="fixed"/>
        <w:tblCellMar>
          <w:top w:w="0" w:type="dxa"/>
          <w:left w:w="0" w:type="dxa"/>
          <w:bottom w:w="0" w:type="dxa"/>
          <w:right w:w="0" w:type="dxa"/>
        </w:tblCellMar>
      </w:tblPr>
      <w:tblGrid>
        <w:gridCol w:w="124"/>
        <w:gridCol w:w="109"/>
        <w:gridCol w:w="1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1285" cy="175260"/>
                      <wp:effectExtent l="0" t="0" r="0" b="0"/>
                      <wp:wrapNone/>
                      <wp:docPr id="7" name="Frame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934720"/>
                      <wp:effectExtent l="0" t="0" r="0" b="0"/>
                      <wp:wrapNone/>
                      <wp:docPr id="8" name="Frame8"/>
                      <a:graphic xmlns:a="http://schemas.openxmlformats.org/drawingml/2006/main">
                        <a:graphicData uri="http://schemas.microsoft.com/office/word/2010/wordprocessingShape">
                          <wps:wsp>
                            <wps:cNvSpPr txBox="1"/>
                            <wps:spPr>
                              <a:xfrm>
                                <a:off x="0" y="0"/>
                                <a:ext cx="78740" cy="9347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525780"/>
                      <wp:effectExtent l="0" t="0" r="0" b="0"/>
                      <wp:wrapNone/>
                      <wp:docPr id="9" name="Frame9"/>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righ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  ​ ​ ​</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1285" cy="701040"/>
                      <wp:effectExtent l="0" t="0" r="0" b="0"/>
                      <wp:wrapNone/>
                      <wp:docPr id="10" name="Frame10"/>
                      <a:graphic xmlns:a="http://schemas.openxmlformats.org/drawingml/2006/main">
                        <a:graphicData uri="http://schemas.microsoft.com/office/word/2010/wordprocessingShape">
                          <wps:wsp>
                            <wps:cNvSpPr txBox="1"/>
                            <wps:spPr>
                              <a:xfrm>
                                <a:off x="0" y="0"/>
                                <a:ext cx="121285" cy="7010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37-6762818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37-6762818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5382895"/>
                      <wp:effectExtent l="0" t="0" r="0" b="0"/>
                      <wp:wrapNone/>
                      <wp:docPr id="11" name="Frame11"/>
                      <a:graphic xmlns:a="http://schemas.openxmlformats.org/drawingml/2006/main">
                        <a:graphicData uri="http://schemas.microsoft.com/office/word/2010/wordprocessingShape">
                          <wps:wsp>
                            <wps:cNvSpPr txBox="1"/>
                            <wps:spPr>
                              <a:xfrm>
                                <a:off x="0" y="0"/>
                                <a:ext cx="78740" cy="53828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2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285" cy="2219960"/>
                      <wp:effectExtent l="0" t="0" r="0" b="0"/>
                      <wp:wrapNone/>
                      <wp:docPr id="12" name="Frame12"/>
                      <a:graphic xmlns:a="http://schemas.openxmlformats.org/drawingml/2006/main">
                        <a:graphicData uri="http://schemas.microsoft.com/office/word/2010/wordprocessingShape">
                          <wps:wsp>
                            <wps:cNvSpPr txBox="1"/>
                            <wps:spPr>
                              <a:xfrm>
                                <a:off x="0" y="0"/>
                                <a:ext cx="121285" cy="22199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Number)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3622040"/>
                      <wp:effectExtent l="0" t="0" r="0" b="0"/>
                      <wp:wrapNone/>
                      <wp:docPr id="13" name="Frame13"/>
                      <a:graphic xmlns:a="http://schemas.openxmlformats.org/drawingml/2006/main">
                        <a:graphicData uri="http://schemas.microsoft.com/office/word/2010/wordprocessingShape">
                          <wps:wsp>
                            <wps:cNvSpPr txBox="1"/>
                            <wps:spPr>
                              <a:xfrm>
                                <a:off x="0" y="0"/>
                                <a:ext cx="78740" cy="36220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1114 Avenue of the Americas, 39th Floor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8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1114 Avenue of the Americas, 39th Floor</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198245"/>
                      <wp:effectExtent l="0" t="0" r="0" b="0"/>
                      <wp:wrapNone/>
                      <wp:docPr id="14" name="Frame14"/>
                      <a:graphic xmlns:a="http://schemas.openxmlformats.org/drawingml/2006/main">
                        <a:graphicData uri="http://schemas.microsoft.com/office/word/2010/wordprocessingShape">
                          <wps:wsp>
                            <wps:cNvSpPr txBox="1"/>
                            <wps:spPr>
                              <a:xfrm>
                                <a:off x="0" y="0"/>
                                <a:ext cx="78740" cy="119824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w:t>
                                  </w:r>
                                  <w:r>
                                    <w:rPr>
                                      <w:rFonts w:ascii="Times New Roman;Times;serif" w:hAnsi="Times New Roman;Times;serif"/>
                                      <w:sz w:val="20"/>
                                    </w:rPr>
                                    <w:t xml:space="preserve"> </w:t>
                                  </w:r>
                                  <w:r>
                                    <w:rPr>
                                      <w:rFonts w:ascii="Times New Roman;Times;serif" w:hAnsi="Times New Roman;Times;serif"/>
                                      <w:b/>
                                      <w:sz w:val="16"/>
                                    </w:rPr>
                                    <w:t>, 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w:t>
                            </w:r>
                            <w:r>
                              <w:rPr>
                                <w:rFonts w:ascii="Times New Roman;Times;serif" w:hAnsi="Times New Roman;Times;serif"/>
                                <w:sz w:val="20"/>
                              </w:rPr>
                              <w:t xml:space="preserve"> </w:t>
                            </w:r>
                            <w:r>
                              <w:rPr>
                                <w:rFonts w:ascii="Times New Roman;Times;serif" w:hAnsi="Times New Roman;Times;serif"/>
                                <w:b/>
                                <w:sz w:val="16"/>
                              </w:rPr>
                              <w:t>, NY</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righ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1285" cy="350520"/>
                      <wp:effectExtent l="0" t="0" r="0" b="0"/>
                      <wp:wrapNone/>
                      <wp:docPr id="16" name="Frame16"/>
                      <a:graphic xmlns:a="http://schemas.openxmlformats.org/drawingml/2006/main">
                        <a:graphicData uri="http://schemas.microsoft.com/office/word/2010/wordprocessingShape">
                          <wps:wsp>
                            <wps:cNvSpPr txBox="1"/>
                            <wps:spPr>
                              <a:xfrm>
                                <a:off x="0" y="0"/>
                                <a:ext cx="121285" cy="3505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10036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3388360"/>
                      <wp:effectExtent l="0" t="0" r="0" b="0"/>
                      <wp:wrapNone/>
                      <wp:docPr id="17" name="Frame17"/>
                      <a:graphic xmlns:a="http://schemas.openxmlformats.org/drawingml/2006/main">
                        <a:graphicData uri="http://schemas.microsoft.com/office/word/2010/wordprocessingShape">
                          <wps:wsp>
                            <wps:cNvSpPr txBox="1"/>
                            <wps:spPr>
                              <a:xfrm>
                                <a:off x="0" y="0"/>
                                <a:ext cx="78740" cy="33883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6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1285" cy="584200"/>
                      <wp:effectExtent l="0" t="0" r="0" b="0"/>
                      <wp:wrapNone/>
                      <wp:docPr id="18" name="Frame18"/>
                      <a:graphic xmlns:a="http://schemas.openxmlformats.org/drawingml/2006/main">
                        <a:graphicData uri="http://schemas.microsoft.com/office/word/2010/wordprocessingShape">
                          <wps:wsp>
                            <wps:cNvSpPr txBox="1"/>
                            <wps:spPr>
                              <a:xfrm>
                                <a:off x="0" y="0"/>
                                <a:ext cx="121285" cy="5842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16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_______________________________________________________________________________</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wy4snGDQUiTbG4dty_y3Q_1_4"/>
      <w:bookmarkStart w:id="30" w:name="Tc_4zZIE-_XDEaIYtPO6yxz0g_1_2"/>
      <w:bookmarkStart w:id="31" w:name="Tc_5J3aRuL5YE2juMl9YpDrhg_1_0"/>
      <w:bookmarkStart w:id="32" w:name="_975a0bb2_828e_4624_9c00_c627cf2f216b"/>
      <w:bookmarkStart w:id="33" w:name="Tc_-wy4snGDQUiTbG4dty_y3Q_1_4"/>
      <w:bookmarkStart w:id="34" w:name="Tc_4zZIE-_XDEaIYtPO6yxz0g_1_2"/>
      <w:bookmarkStart w:id="35" w:name="Tc_5J3aRuL5YE2juMl9YpDrhg_1_0"/>
      <w:bookmarkStart w:id="36" w:name="_975a0bb2_828e_4624_9c00_c627cf2f216b"/>
      <w:bookmarkEnd w:id="33"/>
      <w:bookmarkEnd w:id="34"/>
      <w:bookmarkEnd w:id="35"/>
      <w:bookmarkEnd w:id="36"/>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75260"/>
                      <wp:effectExtent l="0" t="0" r="0" b="0"/>
                      <wp:wrapNone/>
                      <wp:docPr id="19" name="Frame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75260"/>
                      <wp:effectExtent l="0" t="0" r="0" b="0"/>
                      <wp:wrapNone/>
                      <wp:docPr id="23" name="Frame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8740" cy="1518920"/>
                      <wp:effectExtent l="0" t="0" r="0" b="0"/>
                      <wp:wrapNone/>
                      <wp:docPr id="24" name="Frame24"/>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525780"/>
                      <wp:effectExtent l="0" t="0" r="0" b="0"/>
                      <wp:wrapNone/>
                      <wp:docPr id="25" name="Frame25"/>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0"/>
                      <wp:effectExtent l="0" t="0" r="0" b="0"/>
                      <wp:wrapNone/>
                      <wp:docPr id="26" name="Frame26"/>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525780"/>
                      <wp:effectExtent l="0" t="0" r="0" b="0"/>
                      <wp:wrapNone/>
                      <wp:docPr id="27" name="Frame27"/>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3037840"/>
                      <wp:effectExtent l="0" t="0" r="0" b="0"/>
                      <wp:wrapNone/>
                      <wp:docPr id="28" name="Frame28"/>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8740" cy="2799715"/>
                      <wp:effectExtent l="0" t="0" r="0" b="0"/>
                      <wp:wrapNone/>
                      <wp:docPr id="29" name="Frame29"/>
                      <a:graphic xmlns:a="http://schemas.openxmlformats.org/drawingml/2006/main">
                        <a:graphicData uri="http://schemas.microsoft.com/office/word/2010/wordprocessingShape">
                          <wps:wsp>
                            <wps:cNvSpPr txBox="1"/>
                            <wps:spPr>
                              <a:xfrm>
                                <a:off x="0" y="0"/>
                                <a:ext cx="78740" cy="279971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Shares of Beneficial Interest,</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0.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Shares of Beneficial Interest,</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467360"/>
                      <wp:effectExtent l="0" t="0" r="0" b="0"/>
                      <wp:wrapNone/>
                      <wp:docPr id="31" name="Frame31"/>
                      <a:graphic xmlns:a="http://schemas.openxmlformats.org/drawingml/2006/main">
                        <a:graphicData uri="http://schemas.microsoft.com/office/word/2010/wordprocessingShape">
                          <wps:wsp>
                            <wps:cNvSpPr txBox="1"/>
                            <wps:spPr>
                              <a:xfrm>
                                <a:off x="0" y="0"/>
                                <a:ext cx="69215" cy="4673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STHO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STHO</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7790" cy="1402080"/>
                      <wp:effectExtent l="0" t="0" r="0" b="0"/>
                      <wp:wrapNone/>
                      <wp:docPr id="33" name="Frame33"/>
                      <a:graphic xmlns:a="http://schemas.openxmlformats.org/drawingml/2006/main">
                        <a:graphicData uri="http://schemas.microsoft.com/office/word/2010/wordprocessingShape">
                          <wps:wsp>
                            <wps:cNvSpPr txBox="1"/>
                            <wps:spPr>
                              <a:xfrm>
                                <a:off x="0" y="0"/>
                                <a:ext cx="97790" cy="14020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95"/>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7" w:name="Tc_gm4hP1DBg0yxDNwYfhFxRw_2_4"/>
      <w:bookmarkStart w:id="38" w:name="Tc_QB58o_hCF0W_JFHJ64Rarw_2_2"/>
      <w:bookmarkStart w:id="39" w:name="Tc_fOpuLsb7cE-u1lqQcJbLqw_2_0"/>
      <w:bookmarkStart w:id="40" w:name="Tc_Q-GTsKonZ0CAv2p8C2ELsw_1_8"/>
      <w:bookmarkStart w:id="41" w:name="Tc_XNYWBHUb80G91FEuHxLVZg_1_6"/>
      <w:bookmarkStart w:id="42" w:name="Tc_t0CGRHrNpECpnW-R3q_55w_1_4"/>
      <w:bookmarkStart w:id="43" w:name="Tc_qJlYfn7vOEuraSTYjWVhdw_1_2"/>
      <w:bookmarkStart w:id="44" w:name="Tc_dzlbUaKRV0ujERBR_3j1EQ_1_0"/>
      <w:bookmarkStart w:id="45" w:name="_13db7370_8c82_4d76_b81c_f7be1dfc676d"/>
      <w:bookmarkStart w:id="46" w:name="Tc_gm4hP1DBg0yxDNwYfhFxRw_2_4"/>
      <w:bookmarkStart w:id="47" w:name="Tc_QB58o_hCF0W_JFHJ64Rarw_2_2"/>
      <w:bookmarkStart w:id="48" w:name="Tc_fOpuLsb7cE-u1lqQcJbLqw_2_0"/>
      <w:bookmarkStart w:id="49" w:name="Tc_Q-GTsKonZ0CAv2p8C2ELsw_1_8"/>
      <w:bookmarkStart w:id="50" w:name="Tc_XNYWBHUb80G91FEuHxLVZg_1_6"/>
      <w:bookmarkStart w:id="51" w:name="Tc_t0CGRHrNpECpnW-R3q_55w_1_4"/>
      <w:bookmarkStart w:id="52" w:name="Tc_qJlYfn7vOEuraSTYjWVhdw_1_2"/>
      <w:bookmarkStart w:id="53" w:name="Tc_dzlbUaKRV0ujERBR_3j1EQ_1_0"/>
      <w:bookmarkStart w:id="54" w:name="_13db7370_8c82_4d76_b81c_f7be1dfc676d"/>
      <w:bookmarkEnd w:id="46"/>
      <w:bookmarkEnd w:id="47"/>
      <w:bookmarkEnd w:id="48"/>
      <w:bookmarkEnd w:id="49"/>
      <w:bookmarkEnd w:id="50"/>
      <w:bookmarkEnd w:id="51"/>
      <w:bookmarkEnd w:id="52"/>
      <w:bookmarkEnd w:id="53"/>
      <w:bookmarkEnd w:id="54"/>
    </w:p>
    <w:tbl>
      <w:tblPr>
        <w:tblW w:w="8157" w:type="dxa"/>
        <w:jc w:val="left"/>
        <w:tblInd w:w="0" w:type="dxa"/>
        <w:tblLayout w:type="fixed"/>
        <w:tblCellMar>
          <w:top w:w="0" w:type="dxa"/>
          <w:left w:w="0" w:type="dxa"/>
          <w:bottom w:w="0" w:type="dxa"/>
          <w:right w:w="0" w:type="dxa"/>
        </w:tblCellMar>
      </w:tblPr>
      <w:tblGrid>
        <w:gridCol w:w="1426"/>
        <w:gridCol w:w="286"/>
        <w:gridCol w:w="916"/>
        <w:gridCol w:w="286"/>
        <w:gridCol w:w="1261"/>
        <w:gridCol w:w="286"/>
        <w:gridCol w:w="1411"/>
        <w:gridCol w:w="109"/>
        <w:gridCol w:w="2176"/>
      </w:tblGrid>
      <w:tr>
        <w:trPr/>
        <w:tc>
          <w:tcPr>
            <w:tcW w:w="14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Large Accelerated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w:t>
            </w:r>
          </w:p>
        </w:tc>
        <w:tc>
          <w:tcPr>
            <w:tcW w:w="286" w:type="dxa"/>
            <w:tcBorders/>
            <w:vAlign w:val="center"/>
          </w:tcPr>
          <w:p>
            <w:pPr>
              <w:pStyle w:val="TableContents"/>
              <w:bidi w:val="0"/>
              <w:spacing w:before="0" w:after="0"/>
              <w:ind w:left="0" w:right="0" w:hanging="0"/>
              <w:jc w:val="left"/>
              <w:rPr/>
            </w:pPr>
            <w:r>
              <w:rPr/>
              <w:t>  ​ ​</w:t>
            </w:r>
          </w:p>
        </w:tc>
        <w:tc>
          <w:tcPr>
            <w:tcW w:w="91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Accelerated</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 </w:t>
            </w:r>
          </w:p>
        </w:tc>
        <w:tc>
          <w:tcPr>
            <w:tcW w:w="286" w:type="dxa"/>
            <w:tcBorders/>
            <w:vAlign w:val="center"/>
          </w:tcPr>
          <w:p>
            <w:pPr>
              <w:pStyle w:val="TableContents"/>
              <w:bidi w:val="0"/>
              <w:spacing w:before="0" w:after="0"/>
              <w:ind w:left="0" w:right="0" w:hanging="0"/>
              <w:jc w:val="left"/>
              <w:rPr/>
            </w:pPr>
            <w:r>
              <w:rPr/>
              <w:t>  ​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 accelerated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w:t>
            </w:r>
          </w:p>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Smaller Reporting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Company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350520"/>
                      <wp:effectExtent l="0" t="0" r="0" b="0"/>
                      <wp:wrapNone/>
                      <wp:docPr id="35" name="Frame35"/>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Emerging Growth Company </w:t>
            </w:r>
          </w:p>
        </w:tc>
      </w:tr>
      <w:tr>
        <w:trPr/>
        <w:tc>
          <w:tcPr>
            <w:tcW w:w="1426" w:type="dxa"/>
            <w:tcBorders/>
            <w:vAlign w:val="center"/>
          </w:tcPr>
          <w:p>
            <w:pPr>
              <w:pStyle w:val="TableContents"/>
              <w:bidi w:val="0"/>
              <w:spacing w:before="0" w:after="0"/>
              <w:ind w:left="0" w:right="0" w:hanging="0"/>
              <w:jc w:val="center"/>
              <w:rPr/>
            </w:pPr>
            <w:r>
              <w:rPr/>
              <w:t>☐</w:t>
            </w:r>
          </w:p>
          <w:p>
            <w:pPr>
              <w:pStyle w:val="TableContents"/>
              <w:bidi w:val="0"/>
              <w:spacing w:before="0" w:after="24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1610" cy="175260"/>
                      <wp:effectExtent l="0" t="0" r="0" b="0"/>
                      <wp:wrapNone/>
                      <wp:docPr id="36"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1610" cy="175260"/>
                      <wp:effectExtent l="0" t="0" r="0" b="0"/>
                      <wp:wrapNone/>
                      <wp:docPr id="38"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As of May 6, 2026, there were 12,081,333 shares, $0.001 par value per share, of Star Holdings common stock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TOC"/>
      <w:bookmarkStart w:id="56" w:name="_08a645ca_ace3_45a2_8d4a_137f03e41034"/>
      <w:bookmarkEnd w:id="55"/>
      <w:bookmarkEnd w:id="5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41"/>
        <w:gridCol w:w="8853"/>
        <w:gridCol w:w="511"/>
      </w:tblGrid>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r>
              <w:rPr/>
              <w:t>​</w:t>
            </w:r>
          </w:p>
        </w:tc>
        <w:tc>
          <w:tcPr>
            <w:tcW w:w="8853" w:type="dxa"/>
            <w:tcBorders/>
            <w:vAlign w:val="center"/>
          </w:tcPr>
          <w:p>
            <w:pPr>
              <w:pStyle w:val="TableContents"/>
              <w:bidi w:val="0"/>
              <w:spacing w:before="0" w:after="30"/>
              <w:ind w:left="0" w:right="0" w:hanging="0"/>
              <w:jc w:val="left"/>
              <w:rPr/>
            </w:pPr>
            <w:r>
              <w:rPr/>
              <w:t>​</w:t>
            </w:r>
          </w:p>
        </w:tc>
        <w:tc>
          <w:tcPr>
            <w:tcW w:w="511" w:type="dxa"/>
            <w:tcBorders/>
            <w:vAlign w:val="center"/>
          </w:tcPr>
          <w:p>
            <w:pPr>
              <w:pStyle w:val="TableContents"/>
              <w:bidi w:val="0"/>
              <w:spacing w:before="0" w:after="30"/>
              <w:ind w:left="0" w:right="0" w:hanging="0"/>
              <w:jc w:val="right"/>
              <w:rPr>
                <w:rFonts w:ascii="Times New Roman;Times;serif" w:hAnsi="Times New Roman;Times;serif"/>
                <w:b/>
                <w:sz w:val="16"/>
              </w:rPr>
            </w:pPr>
            <w:r>
              <w:rPr>
                <w:rFonts w:ascii="Times New Roman;Times;serif" w:hAnsi="Times New Roman;Times;serif"/>
                <w:b/>
                <w:sz w:val="16"/>
              </w:rPr>
              <w:t>Page</w:t>
            </w:r>
          </w:p>
        </w:tc>
      </w:tr>
      <w:tr>
        <w:trPr/>
        <w:tc>
          <w:tcPr>
            <w:tcW w:w="841" w:type="dxa"/>
            <w:tcBorders/>
            <w:vAlign w:val="center"/>
          </w:tcPr>
          <w:p>
            <w:pPr>
              <w:pStyle w:val="TableContents"/>
              <w:bidi w:val="0"/>
              <w:spacing w:before="0" w:after="30"/>
              <w:ind w:left="0" w:right="0" w:hanging="0"/>
              <w:jc w:val="left"/>
              <w:rPr/>
            </w:pPr>
            <w:r>
              <w:rPr/>
              <w:t>​</w:t>
            </w:r>
          </w:p>
        </w:tc>
        <w:tc>
          <w:tcPr>
            <w:tcW w:w="8853" w:type="dxa"/>
            <w:tcBorders/>
            <w:vAlign w:val="center"/>
          </w:tcPr>
          <w:p>
            <w:pPr>
              <w:pStyle w:val="TableContents"/>
              <w:bidi w:val="0"/>
              <w:spacing w:before="0" w:after="30"/>
              <w:ind w:left="0" w:right="0" w:hanging="0"/>
              <w:jc w:val="left"/>
              <w:rPr/>
            </w:pPr>
            <w:r>
              <w:rPr/>
              <w:t>​</w:t>
            </w:r>
          </w:p>
        </w:tc>
        <w:tc>
          <w:tcPr>
            <w:tcW w:w="511" w:type="dxa"/>
            <w:tcBorders/>
            <w:vAlign w:val="center"/>
          </w:tcPr>
          <w:p>
            <w:pPr>
              <w:pStyle w:val="TableContents"/>
              <w:bidi w:val="0"/>
              <w:spacing w:before="0" w:after="30"/>
              <w:ind w:left="0" w:right="0" w:hanging="0"/>
              <w:jc w:val="right"/>
              <w:rPr/>
            </w:pPr>
            <w:r>
              <w:rPr/>
              <w:t>​</w:t>
            </w:r>
          </w:p>
        </w:tc>
      </w:tr>
      <w:tr>
        <w:trPr/>
        <w:tc>
          <w:tcPr>
            <w:tcW w:w="841" w:type="dxa"/>
            <w:tcBorders/>
            <w:vAlign w:val="center"/>
          </w:tcPr>
          <w:p>
            <w:pPr>
              <w:pStyle w:val="TableContents"/>
              <w:bidi w:val="0"/>
              <w:spacing w:before="0" w:after="30"/>
              <w:ind w:left="0" w:right="0" w:hanging="0"/>
              <w:jc w:val="left"/>
              <w:rPr/>
            </w:pPr>
            <w:hyperlink w:anchor="PARTI_822551">
              <w:r>
                <w:rPr>
                  <w:rStyle w:val="InternetLink"/>
                  <w:rFonts w:ascii="Times New Roman;Times;serif" w:hAnsi="Times New Roman;Times;serif"/>
                  <w:b/>
                  <w:i w:val="false"/>
                  <w:caps w:val="false"/>
                  <w:smallCaps w:val="false"/>
                  <w:sz w:val="20"/>
                </w:rPr>
                <w:t>PART I</w:t>
              </w:r>
            </w:hyperlink>
          </w:p>
        </w:tc>
        <w:tc>
          <w:tcPr>
            <w:tcW w:w="8853" w:type="dxa"/>
            <w:tcBorders/>
            <w:vAlign w:val="center"/>
          </w:tcPr>
          <w:p>
            <w:pPr>
              <w:pStyle w:val="TableContents"/>
              <w:bidi w:val="0"/>
              <w:spacing w:before="0" w:after="30"/>
              <w:ind w:left="0" w:right="0" w:hanging="0"/>
              <w:jc w:val="left"/>
              <w:rPr/>
            </w:pPr>
            <w:hyperlink w:anchor="CONSOLIDATEDFINANCIALINFORMATION_587821">
              <w:r>
                <w:rPr>
                  <w:rStyle w:val="InternetLink"/>
                  <w:rFonts w:ascii="Times New Roman;Times;serif" w:hAnsi="Times New Roman;Times;serif"/>
                  <w:b w:val="false"/>
                  <w:i w:val="false"/>
                  <w:caps w:val="false"/>
                  <w:smallCaps w:val="false"/>
                  <w:sz w:val="20"/>
                </w:rPr>
                <w:t>Consolidated Financial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30"/>
              <w:ind w:left="0" w:right="0" w:hanging="0"/>
              <w:jc w:val="left"/>
              <w:rPr/>
            </w:pPr>
            <w:hyperlink w:anchor="Item1FinancialStatements_875203">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FinancialStatements_875203">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BalanceSheets_435314">
              <w:r>
                <w:rPr>
                  <w:rStyle w:val="InternetLink"/>
                  <w:rFonts w:ascii="Times New Roman;Times;serif" w:hAnsi="Times New Roman;Times;serif"/>
                  <w:b w:val="false"/>
                  <w:i w:val="false"/>
                  <w:caps w:val="false"/>
                  <w:smallCaps w:val="false"/>
                  <w:sz w:val="20"/>
                </w:rPr>
                <w:t>Consolidated Balance Sheets (unaudited) as of March 31, 2026 and December 31,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sofOperations_593879">
              <w:r>
                <w:rPr>
                  <w:rStyle w:val="InternetLink"/>
                  <w:rFonts w:ascii="Times New Roman;Times;serif" w:hAnsi="Times New Roman;Times;serif"/>
                  <w:b w:val="false"/>
                  <w:i w:val="false"/>
                  <w:caps w:val="false"/>
                  <w:smallCaps w:val="false"/>
                  <w:sz w:val="20"/>
                </w:rPr>
                <w:t>Consolidated Statements of Operations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tatementsofComprehensiveIncomeLoss_4233">
              <w:r>
                <w:rPr>
                  <w:rStyle w:val="InternetLink"/>
                  <w:rFonts w:ascii="Times New Roman;Times;serif" w:hAnsi="Times New Roman;Times;serif"/>
                  <w:b w:val="false"/>
                  <w:i w:val="false"/>
                  <w:caps w:val="false"/>
                  <w:smallCaps w:val="false"/>
                  <w:sz w:val="20"/>
                </w:rPr>
                <w:t>Consolidated Statements of Comprehensive Income (Loss)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sofChangesinEquity_733423">
              <w:r>
                <w:rPr>
                  <w:rStyle w:val="InternetLink"/>
                  <w:rFonts w:ascii="Times New Roman;Times;serif" w:hAnsi="Times New Roman;Times;serif"/>
                  <w:b w:val="false"/>
                  <w:i w:val="false"/>
                  <w:caps w:val="false"/>
                  <w:smallCaps w:val="false"/>
                  <w:sz w:val="20"/>
                </w:rPr>
                <w:t>Consolidated Statements of Changes in Equity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ashFlows_705700">
              <w:r>
                <w:rPr>
                  <w:rStyle w:val="InternetLink"/>
                  <w:rFonts w:ascii="Times New Roman;Times;serif" w:hAnsi="Times New Roman;Times;serif"/>
                  <w:b w:val="false"/>
                  <w:i w:val="false"/>
                  <w:caps w:val="false"/>
                  <w:smallCaps w:val="false"/>
                  <w:sz w:val="20"/>
                </w:rPr>
                <w:t>Consolidated Statements of Cash Flows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NotestoConsolidatedFinancialStateme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41"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vAlign w:val="center"/>
          </w:tcPr>
          <w:p>
            <w:pPr>
              <w:pStyle w:val="TableContents"/>
              <w:bidi w:val="0"/>
              <w:spacing w:before="0" w:after="30"/>
              <w:ind w:left="0" w:right="0" w:hanging="0"/>
              <w:jc w:val="left"/>
              <w:rPr/>
            </w:pPr>
            <w:hyperlink w:anchor="Item4ControlsandProcedures_830841">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ControlsandProcedures_830841">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41" w:type="dxa"/>
            <w:tcBorders/>
            <w:vAlign w:val="center"/>
          </w:tcPr>
          <w:p>
            <w:pPr>
              <w:pStyle w:val="TableContents"/>
              <w:bidi w:val="0"/>
              <w:spacing w:before="0" w:after="30"/>
              <w:ind w:left="0" w:right="0" w:hanging="0"/>
              <w:jc w:val="left"/>
              <w:rPr/>
            </w:pPr>
            <w:hyperlink w:anchor="PARTIIOTHERINFORMATION_183511">
              <w:r>
                <w:rPr>
                  <w:rStyle w:val="InternetLink"/>
                  <w:rFonts w:ascii="Times New Roman;Times;serif" w:hAnsi="Times New Roman;Times;serif"/>
                  <w:b/>
                  <w:i w:val="false"/>
                  <w:caps w:val="false"/>
                  <w:smallCaps w:val="false"/>
                  <w:sz w:val="20"/>
                </w:rPr>
                <w:t>PART II</w:t>
              </w:r>
            </w:hyperlink>
          </w:p>
        </w:tc>
        <w:tc>
          <w:tcPr>
            <w:tcW w:w="8853" w:type="dxa"/>
            <w:tcBorders/>
            <w:vAlign w:val="center"/>
          </w:tcPr>
          <w:p>
            <w:pPr>
              <w:pStyle w:val="TableContents"/>
              <w:bidi w:val="0"/>
              <w:spacing w:before="0" w:after="30"/>
              <w:ind w:left="0" w:right="0" w:hanging="0"/>
              <w:jc w:val="left"/>
              <w:rPr/>
            </w:pPr>
            <w:hyperlink w:anchor="PARTIIOTHERINFORMATION_183511">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41" w:type="dxa"/>
            <w:tcBorders/>
            <w:vAlign w:val="center"/>
          </w:tcPr>
          <w:p>
            <w:pPr>
              <w:pStyle w:val="TableContents"/>
              <w:bidi w:val="0"/>
              <w:spacing w:before="0" w:after="30"/>
              <w:ind w:left="0" w:right="0" w:hanging="0"/>
              <w:jc w:val="left"/>
              <w:rPr/>
            </w:pPr>
            <w:hyperlink w:anchor="Item1LegalProceedings_82121">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LegalProceedings_82121">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41" w:type="dxa"/>
            <w:tcBorders/>
            <w:vAlign w:val="center"/>
          </w:tcPr>
          <w:p>
            <w:pPr>
              <w:pStyle w:val="TableContents"/>
              <w:bidi w:val="0"/>
              <w:spacing w:before="0" w:after="30"/>
              <w:ind w:left="0" w:right="0" w:hanging="0"/>
              <w:jc w:val="left"/>
              <w:rPr/>
            </w:pPr>
            <w:hyperlink w:anchor="Item1ARiskFactors_695411">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30"/>
              <w:ind w:left="0" w:right="0" w:hanging="0"/>
              <w:jc w:val="left"/>
              <w:rPr/>
            </w:pPr>
            <w:hyperlink w:anchor="Item1ARiskFactors_695411">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before="0" w:after="30"/>
              <w:ind w:left="0" w:right="0" w:hanging="0"/>
              <w:jc w:val="left"/>
              <w:rPr/>
            </w:pPr>
            <w:hyperlink w:anchor="Item3DefaultsUponSeniorSecurities_384293">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DefaultsUponSeniorSecurities_384293">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before="0" w:after="30"/>
              <w:ind w:left="0" w:right="0" w:hanging="0"/>
              <w:jc w:val="left"/>
              <w:rPr/>
            </w:pPr>
            <w:hyperlink w:anchor="Item4MineSafetyDisclosures_914406">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MineSafetyDisclosures_914406">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before="0" w:after="30"/>
              <w:ind w:left="0" w:right="0" w:hanging="0"/>
              <w:jc w:val="left"/>
              <w:rPr/>
            </w:pPr>
            <w:hyperlink w:anchor="Item5OtherInformation_66088">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30"/>
              <w:ind w:left="0" w:right="0" w:hanging="0"/>
              <w:jc w:val="left"/>
              <w:rPr/>
            </w:pPr>
            <w:hyperlink w:anchor="Item5OtherInformation_66088">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before="0" w:after="30"/>
              <w:ind w:left="0" w:right="0" w:hanging="0"/>
              <w:jc w:val="left"/>
              <w:rPr/>
            </w:pPr>
            <w:hyperlink w:anchor="Item6Exhibits_26965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30"/>
              <w:ind w:left="0" w:right="0" w:hanging="0"/>
              <w:jc w:val="left"/>
              <w:rPr/>
            </w:pPr>
            <w:hyperlink w:anchor="Item6Exhibits_26965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94" w:type="dxa"/>
            <w:gridSpan w:val="2"/>
            <w:tcBorders/>
            <w:vAlign w:val="center"/>
          </w:tcPr>
          <w:p>
            <w:pPr>
              <w:pStyle w:val="TableContents"/>
              <w:bidi w:val="0"/>
              <w:spacing w:before="0" w:after="30"/>
              <w:ind w:left="0" w:right="0" w:hanging="0"/>
              <w:jc w:val="left"/>
              <w:rPr/>
            </w:pPr>
            <w:hyperlink w:anchor="SIGNATURES_522488">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57" w:name="CONSOLIDATEDFINANCIALINFORMATION_587821"/>
      <w:bookmarkStart w:id="58" w:name="PARTI_822551"/>
      <w:bookmarkStart w:id="59" w:name="_361c72b6_7031_485d_92fd_4ab028cf668a"/>
      <w:bookmarkEnd w:id="57"/>
      <w:bookmarkEnd w:id="58"/>
      <w:bookmarkEnd w:id="59"/>
      <w:r>
        <w:rPr>
          <w:rFonts w:ascii="Times New Roman;Times;serif" w:hAnsi="Times New Roman;Times;serif"/>
          <w:b/>
          <w:sz w:val="20"/>
        </w:rPr>
        <w:t>PART I. CONSOLIDATED FINANCIAL INFORMATION</w:t>
      </w:r>
    </w:p>
    <w:p>
      <w:pPr>
        <w:pStyle w:val="TextBody"/>
        <w:bidi w:val="0"/>
        <w:spacing w:before="0" w:after="0"/>
        <w:ind w:left="0" w:right="0" w:hanging="0"/>
        <w:jc w:val="left"/>
        <w:rPr>
          <w:rFonts w:ascii="Times New Roman;Times;serif" w:hAnsi="Times New Roman;Times;serif"/>
          <w:b/>
          <w:sz w:val="20"/>
        </w:rPr>
      </w:pPr>
      <w:bookmarkStart w:id="60" w:name="Item1FinancialStatements_875203"/>
      <w:bookmarkEnd w:id="6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61" w:name="ConsolidatedBalanceSheets_435314"/>
      <w:bookmarkEnd w:id="61"/>
      <w:r>
        <w:rPr>
          <w:rFonts w:ascii="Times New Roman;Times;serif" w:hAnsi="Times New Roman;Times;serif"/>
          <w:b/>
          <w:sz w:val="20"/>
        </w:rPr>
        <w:t>Consolidated Balance Sheets</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(In thousands, except per share data)</w:t>
      </w:r>
      <w:r>
        <w:rPr>
          <w:rFonts w:ascii="Times New Roman;Times;serif" w:hAnsi="Times New Roman;Times;serif"/>
          <w:b/>
          <w:sz w:val="15"/>
        </w:rPr>
        <w: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Normal"/>
        <w:bidi w:val="0"/>
        <w:spacing w:before="0" w:after="0"/>
        <w:jc w:val="left"/>
        <w:rPr>
          <w:sz w:val="4"/>
          <w:szCs w:val="4"/>
        </w:rPr>
      </w:pPr>
      <w:r>
        <w:rPr>
          <w:sz w:val="4"/>
          <w:szCs w:val="4"/>
        </w:rPr>
      </w:r>
      <w:bookmarkStart w:id="62" w:name="Tc_7P0Alb1XQECgO_NvoK-K1A_32_5"/>
      <w:bookmarkStart w:id="63" w:name="Tc_M5wVyK1tbku5gBMm1ledyw_32_2"/>
      <w:bookmarkStart w:id="64" w:name="Tc_J-yd7IPkWk2avTKyh2-XfQ_32_0"/>
      <w:bookmarkStart w:id="65" w:name="Tc_2uLWlsvWjkiqSxVZiMV39A_31_0"/>
      <w:bookmarkStart w:id="66" w:name="Tc_CgAX3pPG5UeZp0pAH7cptQ_30_0"/>
      <w:bookmarkStart w:id="67" w:name="Tc_Xd_wKATtvkeDrTpsSel9cA_29_0"/>
      <w:bookmarkStart w:id="68" w:name="Tc_IKzk8K1Et0uparfjV5Wk7w_28_0"/>
      <w:bookmarkStart w:id="69" w:name="Tc_Tv2HvNQP0kmlgEfzGQxzrA_27_0"/>
      <w:bookmarkStart w:id="70" w:name="Tc_JjzR10ELXkq3Vwg2piBbvA_26_0"/>
      <w:bookmarkStart w:id="71" w:name="Tc_fFl8W7LdAEe6ZhBFV13ZIw_25_0"/>
      <w:bookmarkStart w:id="72" w:name="Tc_t6j-tzXPqUSK6y0zT4l4lg_24_0"/>
      <w:bookmarkStart w:id="73" w:name="Tc_4xY-V8luJkGpc9g72J171w_23_0"/>
      <w:bookmarkStart w:id="74" w:name="Tc_8oyhkjpNdUi1fchv16O0LQ_22_0"/>
      <w:bookmarkStart w:id="75" w:name="Tc_v4Igq1k_RUmNoxYvYBY0Sg_21_0"/>
      <w:bookmarkStart w:id="76" w:name="Tc_QSDO4dRPQkmLpTe4-gkDdg_20_0"/>
      <w:bookmarkStart w:id="77" w:name="Tc_rLfQfCgutkq41QeVxPqBvQ_19_5"/>
      <w:bookmarkStart w:id="78" w:name="Tc_v0JRrbZxxUOfGbGZyswtHw_19_2"/>
      <w:bookmarkStart w:id="79" w:name="Tc_d4rJkzLDoUyf7Z3LTfTNUA_19_0"/>
      <w:bookmarkStart w:id="80" w:name="Tc_PKKtaXEBTEW7v0bQaHBzug_18_0"/>
      <w:bookmarkStart w:id="81" w:name="Tc_VpSJ9t4clEeI-2HSdrcFmg_17_0"/>
      <w:bookmarkStart w:id="82" w:name="Tc_dm6nNF79jk-AfhuCBv0ZaA_16_5"/>
      <w:bookmarkStart w:id="83" w:name="Tc_n2cKlTMNpki_ZeqSiFog1g_16_2"/>
      <w:bookmarkStart w:id="84" w:name="Tc_9muacj4mSk2LIbLNEpx9hA_16_0"/>
      <w:bookmarkStart w:id="85" w:name="Tc_s_yIZ79KskaRzES7RRdU0g_15_0"/>
      <w:bookmarkStart w:id="86" w:name="Tc_7HDE7YX7zUCm6Miv08KJAw_14_0"/>
      <w:bookmarkStart w:id="87" w:name="Tc_4Bn1o9MnnkGXoLbCxc2vsg_13_0"/>
      <w:bookmarkStart w:id="88" w:name="Tc_WpjMux8_B02vPo0tohKpew_12_0"/>
      <w:bookmarkStart w:id="89" w:name="Tc_WMXA2pQA1UiUBZzHdoVvlg_11_0"/>
      <w:bookmarkStart w:id="90" w:name="Tc_QUbGGx5TQEa954tUIanD1A_10_0"/>
      <w:bookmarkStart w:id="91" w:name="Tc_5nc8F69Sp0uYhAT6WOnJ2Q_9_0"/>
      <w:bookmarkStart w:id="92" w:name="Tc_ElcEYotYPkieJ3iazlLrcw_8_0"/>
      <w:bookmarkStart w:id="93" w:name="Tc_JwVd2BTep0SZEvILM6cMwQ_7_0"/>
      <w:bookmarkStart w:id="94" w:name="Tc_7jhdbKnnxkeKLJV4lOIyjQ_6_5"/>
      <w:bookmarkStart w:id="95" w:name="Tc_4JVDBqSJjkmMq2XLkxNuMw_6_2"/>
      <w:bookmarkStart w:id="96" w:name="Tc_8DUHWQJkAk-tYcAoyxUFhw_6_0"/>
      <w:bookmarkStart w:id="97" w:name="Tc_c0nOKZ4TSkWMUXeDPq474w_5_0"/>
      <w:bookmarkStart w:id="98" w:name="Tc_aPrQgYYF4E6epDlj-RPe0g_4_0"/>
      <w:bookmarkStart w:id="99" w:name="Tc_OjrTLnU_a0SNTQ1BLhebig_3_5"/>
      <w:bookmarkStart w:id="100" w:name="Tc_9peo-i7TdUC8QD58pohogA_3_2"/>
      <w:bookmarkStart w:id="101" w:name="Tc_mEHtHpt2dUiVdfa5WIte9Q_2_5"/>
      <w:bookmarkStart w:id="102" w:name="Tc_asQiAWgeRkmqxoGo3vHzmw_2_2"/>
      <w:bookmarkStart w:id="103" w:name="Tc_61FRjFVdbEuNyTHWjOcZmQ_1_2"/>
      <w:bookmarkStart w:id="104" w:name="_daf498bf_a6ae_40a6_a4a1_e348a1bea898"/>
      <w:bookmarkStart w:id="105" w:name="Tc_7P0Alb1XQECgO_NvoK-K1A_32_5"/>
      <w:bookmarkStart w:id="106" w:name="Tc_M5wVyK1tbku5gBMm1ledyw_32_2"/>
      <w:bookmarkStart w:id="107" w:name="Tc_J-yd7IPkWk2avTKyh2-XfQ_32_0"/>
      <w:bookmarkStart w:id="108" w:name="Tc_2uLWlsvWjkiqSxVZiMV39A_31_0"/>
      <w:bookmarkStart w:id="109" w:name="Tc_CgAX3pPG5UeZp0pAH7cptQ_30_0"/>
      <w:bookmarkStart w:id="110" w:name="Tc_Xd_wKATtvkeDrTpsSel9cA_29_0"/>
      <w:bookmarkStart w:id="111" w:name="Tc_IKzk8K1Et0uparfjV5Wk7w_28_0"/>
      <w:bookmarkStart w:id="112" w:name="Tc_Tv2HvNQP0kmlgEfzGQxzrA_27_0"/>
      <w:bookmarkStart w:id="113" w:name="Tc_JjzR10ELXkq3Vwg2piBbvA_26_0"/>
      <w:bookmarkStart w:id="114" w:name="Tc_fFl8W7LdAEe6ZhBFV13ZIw_25_0"/>
      <w:bookmarkStart w:id="115" w:name="Tc_t6j-tzXPqUSK6y0zT4l4lg_24_0"/>
      <w:bookmarkStart w:id="116" w:name="Tc_4xY-V8luJkGpc9g72J171w_23_0"/>
      <w:bookmarkStart w:id="117" w:name="Tc_8oyhkjpNdUi1fchv16O0LQ_22_0"/>
      <w:bookmarkStart w:id="118" w:name="Tc_v4Igq1k_RUmNoxYvYBY0Sg_21_0"/>
      <w:bookmarkStart w:id="119" w:name="Tc_QSDO4dRPQkmLpTe4-gkDdg_20_0"/>
      <w:bookmarkStart w:id="120" w:name="Tc_rLfQfCgutkq41QeVxPqBvQ_19_5"/>
      <w:bookmarkStart w:id="121" w:name="Tc_v0JRrbZxxUOfGbGZyswtHw_19_2"/>
      <w:bookmarkStart w:id="122" w:name="Tc_d4rJkzLDoUyf7Z3LTfTNUA_19_0"/>
      <w:bookmarkStart w:id="123" w:name="Tc_PKKtaXEBTEW7v0bQaHBzug_18_0"/>
      <w:bookmarkStart w:id="124" w:name="Tc_VpSJ9t4clEeI-2HSdrcFmg_17_0"/>
      <w:bookmarkStart w:id="125" w:name="Tc_dm6nNF79jk-AfhuCBv0ZaA_16_5"/>
      <w:bookmarkStart w:id="126" w:name="Tc_n2cKlTMNpki_ZeqSiFog1g_16_2"/>
      <w:bookmarkStart w:id="127" w:name="Tc_9muacj4mSk2LIbLNEpx9hA_16_0"/>
      <w:bookmarkStart w:id="128" w:name="Tc_s_yIZ79KskaRzES7RRdU0g_15_0"/>
      <w:bookmarkStart w:id="129" w:name="Tc_7HDE7YX7zUCm6Miv08KJAw_14_0"/>
      <w:bookmarkStart w:id="130" w:name="Tc_4Bn1o9MnnkGXoLbCxc2vsg_13_0"/>
      <w:bookmarkStart w:id="131" w:name="Tc_WpjMux8_B02vPo0tohKpew_12_0"/>
      <w:bookmarkStart w:id="132" w:name="Tc_WMXA2pQA1UiUBZzHdoVvlg_11_0"/>
      <w:bookmarkStart w:id="133" w:name="Tc_QUbGGx5TQEa954tUIanD1A_10_0"/>
      <w:bookmarkStart w:id="134" w:name="Tc_5nc8F69Sp0uYhAT6WOnJ2Q_9_0"/>
      <w:bookmarkStart w:id="135" w:name="Tc_ElcEYotYPkieJ3iazlLrcw_8_0"/>
      <w:bookmarkStart w:id="136" w:name="Tc_JwVd2BTep0SZEvILM6cMwQ_7_0"/>
      <w:bookmarkStart w:id="137" w:name="Tc_7jhdbKnnxkeKLJV4lOIyjQ_6_5"/>
      <w:bookmarkStart w:id="138" w:name="Tc_4JVDBqSJjkmMq2XLkxNuMw_6_2"/>
      <w:bookmarkStart w:id="139" w:name="Tc_8DUHWQJkAk-tYcAoyxUFhw_6_0"/>
      <w:bookmarkStart w:id="140" w:name="Tc_c0nOKZ4TSkWMUXeDPq474w_5_0"/>
      <w:bookmarkStart w:id="141" w:name="Tc_aPrQgYYF4E6epDlj-RPe0g_4_0"/>
      <w:bookmarkStart w:id="142" w:name="Tc_OjrTLnU_a0SNTQ1BLhebig_3_5"/>
      <w:bookmarkStart w:id="143" w:name="Tc_9peo-i7TdUC8QD58pohogA_3_2"/>
      <w:bookmarkStart w:id="144" w:name="Tc_mEHtHpt2dUiVdfa5WIte9Q_2_5"/>
      <w:bookmarkStart w:id="145" w:name="Tc_asQiAWgeRkmqxoGo3vHzmw_2_2"/>
      <w:bookmarkStart w:id="146" w:name="Tc_61FRjFVdbEuNyTHWjOcZmQ_1_2"/>
      <w:bookmarkStart w:id="147" w:name="_daf498bf_a6ae_40a6_a4a1_e348a1bea89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307"/>
        <w:gridCol w:w="346"/>
        <w:gridCol w:w="211"/>
        <w:gridCol w:w="869"/>
        <w:gridCol w:w="346"/>
        <w:gridCol w:w="211"/>
        <w:gridCol w:w="915"/>
      </w:tblGrid>
      <w:tr>
        <w:trPr/>
        <w:tc>
          <w:tcPr>
            <w:tcW w:w="7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39945" cy="175260"/>
                      <wp:effectExtent l="0" t="0" r="0" b="0"/>
                      <wp:wrapNone/>
                      <wp:docPr id="40" name="Frame40"/>
                      <a:graphic xmlns:a="http://schemas.openxmlformats.org/drawingml/2006/main">
                        <a:graphicData uri="http://schemas.microsoft.com/office/word/2010/wordprocessingShape">
                          <wps:wsp>
                            <wps:cNvSpPr txBox="1"/>
                            <wps:spPr>
                              <a:xfrm>
                                <a:off x="0" y="0"/>
                                <a:ext cx="4639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51815" cy="175260"/>
                      <wp:effectExtent l="0" t="0" r="0" b="0"/>
                      <wp:wrapNone/>
                      <wp:docPr id="43" name="Frame4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81025" cy="175260"/>
                      <wp:effectExtent l="0" t="0" r="0" b="0"/>
                      <wp:wrapNone/>
                      <wp:docPr id="46" name="Frame4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73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07"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  ​</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  ​</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179,062</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(29,713)</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149,349</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112,836</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and other lending investments, net ($497 and $578 of allowances as of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44,095</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185,125</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50,078</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operating lease income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operating lease income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26,774</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570,197</w:t>
            </w:r>
          </w:p>
        </w:tc>
      </w:tr>
      <w:tr>
        <w:trPr/>
        <w:tc>
          <w:tcPr>
            <w:tcW w:w="730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  ​</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  ​</w:t>
            </w:r>
          </w:p>
        </w:tc>
      </w:tr>
      <w:tr>
        <w:trPr/>
        <w:tc>
          <w:tcPr>
            <w:tcW w:w="730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35,610</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obligations,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268,721</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304,331</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(refer to Note 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  ​</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  ​</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  ​</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200,000 shares authorized, 12,081 and 12,318 shares issued and outstanding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599,623</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(347,445)</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251,766</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14,100</w:t>
            </w:r>
          </w:p>
        </w:tc>
      </w:tr>
      <w:tr>
        <w:trPr/>
        <w:tc>
          <w:tcPr>
            <w:tcW w:w="7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265,866</w:t>
            </w:r>
          </w:p>
        </w:tc>
      </w:tr>
      <w:tr>
        <w:trPr/>
        <w:tc>
          <w:tcPr>
            <w:tcW w:w="7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570,197</w:t>
            </w:r>
          </w:p>
        </w:tc>
      </w:tr>
    </w:tbl>
    <w:p>
      <w:pPr>
        <w:pStyle w:val="Normal"/>
        <w:bidi w:val="0"/>
        <w:spacing w:before="0" w:after="0"/>
        <w:jc w:val="left"/>
        <w:rPr>
          <w:sz w:val="4"/>
          <w:szCs w:val="4"/>
        </w:rPr>
      </w:pPr>
      <w:r>
        <w:rPr>
          <w:sz w:val="4"/>
          <w:szCs w:val="4"/>
        </w:rPr>
      </w:r>
      <w:bookmarkStart w:id="148" w:name="_044f8ee3_17b7_45f7_852d_248f8a2612f4"/>
      <w:bookmarkStart w:id="149" w:name="_044f8ee3_17b7_45f7_852d_248f8a2612f4"/>
      <w:bookmarkEnd w:id="149"/>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and December 31, 2025, includes $3.6</w:t>
            </w:r>
            <w:r>
              <w:rPr>
                <w:caps w:val="false"/>
                <w:smallCaps w:val="false"/>
              </w:rPr>
              <w:t xml:space="preserve"> </w:t>
            </w:r>
            <w:r>
              <w:rPr>
                <w:rFonts w:ascii="Times New Roman;Times;serif" w:hAnsi="Times New Roman;Times;serif"/>
                <w:b w:val="false"/>
                <w:i w:val="false"/>
                <w:caps w:val="false"/>
                <w:smallCaps w:val="false"/>
                <w:sz w:val="16"/>
              </w:rPr>
              <w:t>million and $3.6</w:t>
            </w:r>
            <w:r>
              <w:rPr>
                <w:caps w:val="false"/>
                <w:smallCaps w:val="false"/>
              </w:rPr>
              <w:t xml:space="preserve"> </w:t>
            </w:r>
            <w:r>
              <w:rPr>
                <w:rFonts w:ascii="Times New Roman;Times;serif" w:hAnsi="Times New Roman;Times;serif"/>
                <w:b w:val="false"/>
                <w:i w:val="false"/>
                <w:caps w:val="false"/>
                <w:smallCaps w:val="false"/>
                <w:sz w:val="16"/>
              </w:rPr>
              <w:t>million, respectively, of management fees and other payables due to Safe (refer to Note 1).</w:t>
            </w:r>
          </w:p>
        </w:tc>
      </w:tr>
    </w:tbl>
    <w:p>
      <w:pPr>
        <w:pStyle w:val="TextBody"/>
        <w:bidi w:val="0"/>
        <w:spacing w:before="0" w:after="20"/>
        <w:ind w:left="360" w:right="0" w:hanging="0"/>
        <w:jc w:val="both"/>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0"/>
        <w:ind w:left="36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50" w:name="_918bcca5_4308_4ff1_825e_7b5034e7ad9d"/>
      <w:bookmarkEnd w:id="150"/>
      <w:r>
        <w:rPr>
          <w:rFonts w:ascii="Times New Roman;Times;serif" w:hAnsi="Times New Roman;Times;serif"/>
          <w:b/>
          <w:sz w:val="18"/>
        </w:rPr>
        <w:t>Star Holdings</w:t>
      </w:r>
    </w:p>
    <w:p>
      <w:pPr>
        <w:pStyle w:val="TextBody"/>
        <w:bidi w:val="0"/>
        <w:spacing w:before="0" w:after="0"/>
        <w:ind w:left="0" w:right="0" w:hanging="0"/>
        <w:jc w:val="center"/>
        <w:rPr>
          <w:rFonts w:ascii="Times New Roman;Times;serif" w:hAnsi="Times New Roman;Times;serif"/>
          <w:b/>
          <w:sz w:val="18"/>
        </w:rPr>
      </w:pPr>
      <w:bookmarkStart w:id="151" w:name="StatementsofOperations_593879"/>
      <w:bookmarkEnd w:id="151"/>
      <w:r>
        <w:rPr>
          <w:rFonts w:ascii="Times New Roman;Times;serif" w:hAnsi="Times New Roman;Times;serif"/>
          <w:b/>
          <w:sz w:val="18"/>
        </w:rPr>
        <w:t>Consolidated Statements of Operations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per share data)</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 xml:space="preserve">(unaudited) </w:t>
      </w:r>
    </w:p>
    <w:p>
      <w:pPr>
        <w:pStyle w:val="Normal"/>
        <w:bidi w:val="0"/>
        <w:spacing w:before="0" w:after="0"/>
        <w:jc w:val="left"/>
        <w:rPr>
          <w:sz w:val="4"/>
          <w:szCs w:val="4"/>
        </w:rPr>
      </w:pPr>
      <w:r>
        <w:rPr>
          <w:sz w:val="4"/>
          <w:szCs w:val="4"/>
        </w:rPr>
      </w:r>
      <w:bookmarkStart w:id="152" w:name="Tc_sobwK6s6DEOcnQIC-qTL9A_29_0"/>
      <w:bookmarkStart w:id="153" w:name="Tc_-7hEPJAyY0uZm_eCyg6Zuw_28_0"/>
      <w:bookmarkStart w:id="154" w:name="Tc_mT4V-HpkDUW7pgD-82ALfQ_26_5"/>
      <w:bookmarkStart w:id="155" w:name="Tc_ErJrmUEpk0aIA7FvGl9dKA_26_2"/>
      <w:bookmarkStart w:id="156" w:name="Tc_4rKqtjsB90-Fo_5eBARgTQ_26_0"/>
      <w:bookmarkStart w:id="157" w:name="Tc_t8j-XnT5c0W7QUwM88_eJA_25_0"/>
      <w:bookmarkStart w:id="158" w:name="Tc_dA0R38qHYUCzjCpISZ1XXA_24_0"/>
      <w:bookmarkStart w:id="159" w:name="Tc_gHB1CDQFOk-ZAJ0v9PT7Zw_23_5"/>
      <w:bookmarkStart w:id="160" w:name="Tc_nMgNRPGKjEWYxhtdqwfb0w_23_2"/>
      <w:bookmarkStart w:id="161" w:name="Tc_4A0HEWtUwkmgHZ98ecnMJQ_23_0"/>
      <w:bookmarkStart w:id="162" w:name="Tc_Ox6CFQbP10qE0zy7-a09rw_22_0"/>
      <w:bookmarkStart w:id="163" w:name="Tc_Kdcjpf7JXUuVriDT_uG-Yg_21_0"/>
      <w:bookmarkStart w:id="164" w:name="Tc_aQOudkkOD0aExJV27FH85A_20_3"/>
      <w:bookmarkStart w:id="165" w:name="Tc_WmIlj0o510SsD4O9MAjl4g_20_0"/>
      <w:bookmarkStart w:id="166" w:name="Tc_sH9rINcawEyM6Pegmh_LQA_19_0"/>
      <w:bookmarkStart w:id="167" w:name="Tc_KeH4BEuXrU-mAy1frglHVQ_18_0"/>
      <w:bookmarkStart w:id="168" w:name="Tc_M7xnM4xyMUWiM_9D-dKXBg_17_0"/>
      <w:bookmarkStart w:id="169" w:name="Tc_J7xwHoQx4k2kq1dKjQbd4Q_16_0"/>
      <w:bookmarkStart w:id="170" w:name="Tc_uTRHU5IuYkecY1rAsqo6jQ_15_0"/>
      <w:bookmarkStart w:id="171" w:name="Tc_Bb5J3RB3CkuPaYwZtbtdXw_14_0"/>
      <w:bookmarkStart w:id="172" w:name="Tc_86IZ05VhQEajSlOZWkNY5A_13_0"/>
      <w:bookmarkStart w:id="173" w:name="Tc_K86XQ-DZ5EeoYlpgQMKOZw_12_0"/>
      <w:bookmarkStart w:id="174" w:name="Tc_vaiE_6KLmkuo7DKRgRCdTA_11_0"/>
      <w:bookmarkStart w:id="175" w:name="Tc_K5BlQOjhIE20vrjl6LDzTQ_10_0"/>
      <w:bookmarkStart w:id="176" w:name="Tc_f1zSl0-sdUC--Raz72lpbw_9_0"/>
      <w:bookmarkStart w:id="177" w:name="Tc_elLjCfXrAUequiGZRVP8zQ_8_0"/>
      <w:bookmarkStart w:id="178" w:name="Tc_1TdgD7bYYUis-wEgI0_1yQ_7_0"/>
      <w:bookmarkStart w:id="179" w:name="Tc_QwUqyMG7yUS9PHySbNK9lA_6_0"/>
      <w:bookmarkStart w:id="180" w:name="Tc_FqeirV7SxEqNM5IVpjN_sg_5_0"/>
      <w:bookmarkStart w:id="181" w:name="Tc__648KhYYeE2kw5YtQx9wBg_4_5"/>
      <w:bookmarkStart w:id="182" w:name="Tc_k1ELLShKV0mM9gqUDGXKDQ_4_2"/>
      <w:bookmarkStart w:id="183" w:name="Tc_6JypQVx7fUKSpBrvI6tEJg_4_0"/>
      <w:bookmarkStart w:id="184" w:name="Tc_RPWiYR8aBUe11XFZS-C-Fw_3_0"/>
      <w:bookmarkStart w:id="185" w:name="Tc_NweO7ZfBzkKLsJ8OnG6vEQ_2_5"/>
      <w:bookmarkStart w:id="186" w:name="Tc_XkoecMYFM0qnpesWXa0K4g_2_2"/>
      <w:bookmarkStart w:id="187" w:name="Tc_-2zQvuARkkWF4VSjrbBeEg_1_2"/>
      <w:bookmarkStart w:id="188" w:name="_c90f562b_445d_4ba6_b726_6396bdf69505"/>
      <w:bookmarkStart w:id="189" w:name="_cc3d6297_40a1_4a44_81d5_6e274e7aa8a6"/>
      <w:bookmarkStart w:id="190" w:name="Tc_sobwK6s6DEOcnQIC-qTL9A_29_0"/>
      <w:bookmarkStart w:id="191" w:name="Tc_-7hEPJAyY0uZm_eCyg6Zuw_28_0"/>
      <w:bookmarkStart w:id="192" w:name="Tc_mT4V-HpkDUW7pgD-82ALfQ_26_5"/>
      <w:bookmarkStart w:id="193" w:name="Tc_ErJrmUEpk0aIA7FvGl9dKA_26_2"/>
      <w:bookmarkStart w:id="194" w:name="Tc_4rKqtjsB90-Fo_5eBARgTQ_26_0"/>
      <w:bookmarkStart w:id="195" w:name="Tc_t8j-XnT5c0W7QUwM88_eJA_25_0"/>
      <w:bookmarkStart w:id="196" w:name="Tc_dA0R38qHYUCzjCpISZ1XXA_24_0"/>
      <w:bookmarkStart w:id="197" w:name="Tc_gHB1CDQFOk-ZAJ0v9PT7Zw_23_5"/>
      <w:bookmarkStart w:id="198" w:name="Tc_nMgNRPGKjEWYxhtdqwfb0w_23_2"/>
      <w:bookmarkStart w:id="199" w:name="Tc_4A0HEWtUwkmgHZ98ecnMJQ_23_0"/>
      <w:bookmarkStart w:id="200" w:name="Tc_Ox6CFQbP10qE0zy7-a09rw_22_0"/>
      <w:bookmarkStart w:id="201" w:name="Tc_Kdcjpf7JXUuVriDT_uG-Yg_21_0"/>
      <w:bookmarkStart w:id="202" w:name="Tc_aQOudkkOD0aExJV27FH85A_20_3"/>
      <w:bookmarkStart w:id="203" w:name="Tc_WmIlj0o510SsD4O9MAjl4g_20_0"/>
      <w:bookmarkStart w:id="204" w:name="Tc_sH9rINcawEyM6Pegmh_LQA_19_0"/>
      <w:bookmarkStart w:id="205" w:name="Tc_KeH4BEuXrU-mAy1frglHVQ_18_0"/>
      <w:bookmarkStart w:id="206" w:name="Tc_M7xnM4xyMUWiM_9D-dKXBg_17_0"/>
      <w:bookmarkStart w:id="207" w:name="Tc_J7xwHoQx4k2kq1dKjQbd4Q_16_0"/>
      <w:bookmarkStart w:id="208" w:name="Tc_uTRHU5IuYkecY1rAsqo6jQ_15_0"/>
      <w:bookmarkStart w:id="209" w:name="Tc_Bb5J3RB3CkuPaYwZtbtdXw_14_0"/>
      <w:bookmarkStart w:id="210" w:name="Tc_86IZ05VhQEajSlOZWkNY5A_13_0"/>
      <w:bookmarkStart w:id="211" w:name="Tc_K86XQ-DZ5EeoYlpgQMKOZw_12_0"/>
      <w:bookmarkStart w:id="212" w:name="Tc_vaiE_6KLmkuo7DKRgRCdTA_11_0"/>
      <w:bookmarkStart w:id="213" w:name="Tc_K5BlQOjhIE20vrjl6LDzTQ_10_0"/>
      <w:bookmarkStart w:id="214" w:name="Tc_f1zSl0-sdUC--Raz72lpbw_9_0"/>
      <w:bookmarkStart w:id="215" w:name="Tc_elLjCfXrAUequiGZRVP8zQ_8_0"/>
      <w:bookmarkStart w:id="216" w:name="Tc_1TdgD7bYYUis-wEgI0_1yQ_7_0"/>
      <w:bookmarkStart w:id="217" w:name="Tc_QwUqyMG7yUS9PHySbNK9lA_6_0"/>
      <w:bookmarkStart w:id="218" w:name="Tc_FqeirV7SxEqNM5IVpjN_sg_5_0"/>
      <w:bookmarkStart w:id="219" w:name="Tc__648KhYYeE2kw5YtQx9wBg_4_5"/>
      <w:bookmarkStart w:id="220" w:name="Tc_k1ELLShKV0mM9gqUDGXKDQ_4_2"/>
      <w:bookmarkStart w:id="221" w:name="Tc_6JypQVx7fUKSpBrvI6tEJg_4_0"/>
      <w:bookmarkStart w:id="222" w:name="Tc_RPWiYR8aBUe11XFZS-C-Fw_3_0"/>
      <w:bookmarkStart w:id="223" w:name="Tc_NweO7ZfBzkKLsJ8OnG6vEQ_2_5"/>
      <w:bookmarkStart w:id="224" w:name="Tc_XkoecMYFM0qnpesWXa0K4g_2_2"/>
      <w:bookmarkStart w:id="225" w:name="Tc_-2zQvuARkkWF4VSjrbBeEg_1_2"/>
      <w:bookmarkStart w:id="226" w:name="_c90f562b_445d_4ba6_b726_6396bdf69505"/>
      <w:bookmarkStart w:id="227" w:name="_cc3d6297_40a1_4a44_81d5_6e274e7aa8a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tbl>
      <w:tblPr>
        <w:tblW w:w="9465" w:type="dxa"/>
        <w:jc w:val="left"/>
        <w:tblInd w:w="0" w:type="dxa"/>
        <w:tblLayout w:type="fixed"/>
        <w:tblCellMar>
          <w:top w:w="0" w:type="dxa"/>
          <w:left w:w="0" w:type="dxa"/>
          <w:bottom w:w="0" w:type="dxa"/>
          <w:right w:w="0" w:type="dxa"/>
        </w:tblCellMar>
      </w:tblPr>
      <w:tblGrid>
        <w:gridCol w:w="6046"/>
        <w:gridCol w:w="346"/>
        <w:gridCol w:w="276"/>
        <w:gridCol w:w="1044"/>
        <w:gridCol w:w="453"/>
        <w:gridCol w:w="276"/>
        <w:gridCol w:w="1024"/>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39210" cy="175260"/>
                      <wp:effectExtent l="0" t="0" r="0" b="0"/>
                      <wp:wrapNone/>
                      <wp:docPr id="47" name="Frame47"/>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5260" cy="175260"/>
                      <wp:effectExtent l="0" t="0" r="0" b="0"/>
                      <wp:wrapNone/>
                      <wp:docPr id="49" name="Frame4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2940" cy="175260"/>
                      <wp:effectExtent l="0" t="0" r="0" b="0"/>
                      <wp:wrapNone/>
                      <wp:docPr id="50" name="Frame50"/>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7655" cy="175260"/>
                      <wp:effectExtent l="0" t="0" r="0" b="0"/>
                      <wp:wrapNone/>
                      <wp:docPr id="51" name="Frame51"/>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75260" cy="175260"/>
                      <wp:effectExtent l="0" t="0" r="0" b="0"/>
                      <wp:wrapNone/>
                      <wp:docPr id="52" name="Frame5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50240" cy="175260"/>
                      <wp:effectExtent l="0" t="0" r="0" b="0"/>
                      <wp:wrapNone/>
                      <wp:docPr id="53" name="Frame5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3" w:type="dxa"/>
            <w:tcBorders/>
            <w:vAlign w:val="center"/>
          </w:tcPr>
          <w:p>
            <w:pPr>
              <w:pStyle w:val="TableContents"/>
              <w:bidi w:val="0"/>
              <w:spacing w:before="0" w:after="0"/>
              <w:ind w:left="0" w:right="0" w:hanging="0"/>
              <w:jc w:val="left"/>
              <w:rPr/>
            </w:pPr>
            <w:r>
              <w:rPr/>
              <w:t>  ​ ​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  ​</w:t>
            </w:r>
          </w:p>
        </w:tc>
        <w:tc>
          <w:tcPr>
            <w:tcW w:w="453"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60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7,392</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11,015</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5,183</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20,941</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14,624</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r>
      <w:tr>
        <w:trPr/>
        <w:tc>
          <w:tcPr>
            <w:tcW w:w="60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11,507</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cost of sales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r>
      <w:tr>
        <w:trPr/>
        <w:tc>
          <w:tcPr>
            <w:tcW w:w="60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4,718</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33,235</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25,845</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equity investments</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 and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 net</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(8,046)</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operations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(10,257)</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(7,604)</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  ​</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0"/>
              <w:ind w:left="0" w:right="0" w:hanging="0"/>
              <w:jc w:val="left"/>
              <w:rPr>
                <w:color w:val="2C2C2C"/>
              </w:rPr>
            </w:pPr>
            <w:r>
              <w:rPr>
                <w:color w:val="2C2C2C"/>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(0.85)</w:t>
            </w:r>
          </w:p>
        </w:tc>
        <w:tc>
          <w:tcPr>
            <w:tcW w:w="453" w:type="dxa"/>
            <w:tcBorders/>
            <w:vAlign w:val="center"/>
          </w:tcPr>
          <w:p>
            <w:pPr>
              <w:pStyle w:val="TableContents"/>
              <w:bidi w:val="0"/>
              <w:spacing w:before="0" w:after="0"/>
              <w:ind w:left="0" w:right="0" w:hanging="0"/>
              <w:jc w:val="left"/>
              <w:rPr>
                <w:color w:val="2C2C2C"/>
              </w:rPr>
            </w:pPr>
            <w:r>
              <w:rPr>
                <w:color w:val="2C2C2C"/>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(0.57)</w:t>
            </w:r>
          </w:p>
        </w:tc>
      </w:tr>
      <w:tr>
        <w:trPr/>
        <w:tc>
          <w:tcPr>
            <w:tcW w:w="60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76"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1044" w:type="dxa"/>
            <w:tcBorders/>
            <w:shd w:fill="CCEEFF" w:val="clear"/>
            <w:vAlign w:val="center"/>
          </w:tcPr>
          <w:p>
            <w:pPr>
              <w:pStyle w:val="TableContents"/>
              <w:bidi w:val="0"/>
              <w:spacing w:before="0" w:after="0"/>
              <w:ind w:left="0" w:right="0" w:hanging="0"/>
              <w:jc w:val="right"/>
              <w:rPr>
                <w:color w:val="2C2C2C"/>
              </w:rPr>
            </w:pPr>
            <w:r>
              <w:rPr>
                <w:color w:val="2C2C2C"/>
              </w:rPr>
              <w:t>​</w:t>
            </w:r>
          </w:p>
        </w:tc>
        <w:tc>
          <w:tcPr>
            <w:tcW w:w="453"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76"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1024" w:type="dxa"/>
            <w:tcBorders/>
            <w:shd w:fill="CCEEFF" w:val="clear"/>
            <w:vAlign w:val="center"/>
          </w:tcPr>
          <w:p>
            <w:pPr>
              <w:pStyle w:val="TableContents"/>
              <w:bidi w:val="0"/>
              <w:spacing w:before="0" w:after="0"/>
              <w:ind w:left="0" w:right="0" w:hanging="0"/>
              <w:jc w:val="right"/>
              <w:rPr>
                <w:color w:val="2C2C2C"/>
              </w:rPr>
            </w:pPr>
            <w:r>
              <w:rPr>
                <w:color w:val="2C2C2C"/>
              </w:rPr>
              <w:t>​</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  ​</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12,131</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13,320</w:t>
            </w:r>
          </w:p>
        </w:tc>
      </w:tr>
    </w:tbl>
    <w:p>
      <w:pPr>
        <w:pStyle w:val="Normal"/>
        <w:bidi w:val="0"/>
        <w:spacing w:before="0" w:after="0"/>
        <w:jc w:val="left"/>
        <w:rPr>
          <w:sz w:val="4"/>
          <w:szCs w:val="4"/>
        </w:rPr>
      </w:pPr>
      <w:r>
        <w:rPr>
          <w:sz w:val="4"/>
          <w:szCs w:val="4"/>
        </w:rPr>
      </w:r>
      <w:bookmarkStart w:id="228" w:name="_890c30e5_27c5_48b7_b84e_be3f7cef0a0c"/>
      <w:bookmarkStart w:id="229" w:name="_890c30e5_27c5_48b7_b84e_be3f7cef0a0c"/>
      <w:bookmarkEnd w:id="229"/>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For the three months ended March 31, 2026 and 2025, includes $2.0</w:t>
            </w:r>
            <w:r>
              <w:rPr>
                <w:caps w:val="false"/>
                <w:smallCaps w:val="false"/>
                <w:spacing w:val="4"/>
              </w:rPr>
              <w:t> </w:t>
            </w:r>
            <w:r>
              <w:rPr>
                <w:rFonts w:ascii="Times New Roman;Times;serif" w:hAnsi="Times New Roman;Times;serif"/>
                <w:b w:val="false"/>
                <w:i w:val="false"/>
                <w:caps w:val="false"/>
                <w:smallCaps w:val="false"/>
                <w:spacing w:val="4"/>
                <w:sz w:val="16"/>
              </w:rPr>
              <w:t>million and $2.0</w:t>
            </w:r>
            <w:r>
              <w:rPr>
                <w:caps w:val="false"/>
                <w:smallCaps w:val="false"/>
                <w:spacing w:val="4"/>
              </w:rPr>
              <w:t> </w:t>
            </w:r>
            <w:r>
              <w:rPr>
                <w:rFonts w:ascii="Times New Roman;Times;serif" w:hAnsi="Times New Roman;Times;serif"/>
                <w:b w:val="false"/>
                <w:i w:val="false"/>
                <w:caps w:val="false"/>
                <w:smallCaps w:val="false"/>
                <w:spacing w:val="4"/>
                <w:sz w:val="16"/>
              </w:rPr>
              <w:t>million, respectively, of revenues from hotel properties. For the three months ended March 31, 2026, other income and real estate expense include $1.0</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$0.5</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respectively, of income and expense related to a legal settlement with respect to one of iStar’s (refer to Note 1) legacy assets. These amounts, or any future amounts, are recorded upon settlement due to uncertainty regarding collectability of the funds. The income represents the gross amount of the settlement and the expense represents legal costs incurred to a third party, which was contingent on the settlement.</w:t>
            </w:r>
          </w:p>
        </w:tc>
      </w:tr>
    </w:tbl>
    <w:tbl>
      <w:tblPr>
        <w:tblW w:w="10082" w:type="dxa"/>
        <w:jc w:val="left"/>
        <w:tblInd w:w="0" w:type="dxa"/>
        <w:tblLayout w:type="fixed"/>
        <w:tblCellMar>
          <w:top w:w="0" w:type="dxa"/>
          <w:left w:w="0" w:type="dxa"/>
          <w:bottom w:w="0" w:type="dxa"/>
          <w:right w:w="0" w:type="dxa"/>
        </w:tblCellMar>
      </w:tblPr>
      <w:tblGrid>
        <w:gridCol w:w="331"/>
        <w:gridCol w:w="97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7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three months ended March 31, 2026 and 2025, includes $2.3</w:t>
            </w:r>
            <w:r>
              <w:rPr>
                <w:caps w:val="false"/>
                <w:smallCaps w:val="false"/>
              </w:rPr>
              <w:t xml:space="preserve"> </w:t>
            </w:r>
            <w:r>
              <w:rPr>
                <w:rFonts w:ascii="Times New Roman;Times;serif" w:hAnsi="Times New Roman;Times;serif"/>
                <w:b w:val="false"/>
                <w:i w:val="false"/>
                <w:caps w:val="false"/>
                <w:smallCaps w:val="false"/>
                <w:sz w:val="16"/>
              </w:rPr>
              <w:t>million and $2.2</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expense to related parties. </w:t>
            </w:r>
          </w:p>
        </w:tc>
      </w:tr>
    </w:tbl>
    <w:p>
      <w:pPr>
        <w:pStyle w:val="Normal"/>
        <w:bidi w:val="0"/>
        <w:spacing w:before="0" w:after="0"/>
        <w:jc w:val="left"/>
        <w:rPr>
          <w:sz w:val="4"/>
          <w:szCs w:val="4"/>
        </w:rPr>
      </w:pPr>
      <w:r>
        <w:rPr>
          <w:sz w:val="4"/>
          <w:szCs w:val="4"/>
        </w:rPr>
      </w:r>
      <w:bookmarkStart w:id="230" w:name="_c79f9247_638e_4b3d_bdbf_b7267ecded8c"/>
      <w:bookmarkStart w:id="231" w:name="_c79f9247_638e_4b3d_bdbf_b7267ecded8c"/>
      <w:bookmarkEnd w:id="231"/>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For the three months ended March 31, 2026 and 2025, includes $2.5</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$3.8</w:t>
            </w:r>
            <w:r>
              <w:rPr>
                <w:caps w:val="false"/>
                <w:smallCaps w:val="false"/>
                <w:spacing w:val="4"/>
              </w:rPr>
              <w:t xml:space="preserve"> </w:t>
            </w:r>
            <w:r>
              <w:rPr>
                <w:rFonts w:ascii="Times New Roman;Times;serif" w:hAnsi="Times New Roman;Times;serif"/>
                <w:b w:val="false"/>
                <w:i w:val="false"/>
                <w:caps w:val="false"/>
                <w:smallCaps w:val="false"/>
                <w:spacing w:val="4"/>
                <w:sz w:val="16"/>
              </w:rPr>
              <w:t xml:space="preserve">million, respectively, of management fees incurred to related parties. </w:t>
            </w:r>
          </w:p>
        </w:tc>
      </w:tr>
    </w:tbl>
    <w:p>
      <w:pPr>
        <w:pStyle w:val="TextBody"/>
        <w:bidi w:val="0"/>
        <w:spacing w:before="0" w:after="0"/>
        <w:ind w:left="360" w:right="0" w:hanging="0"/>
        <w:jc w:val="both"/>
        <w:rPr/>
      </w:pPr>
      <w:r>
        <w:rPr/>
        <w:t>​</w:t>
      </w:r>
    </w:p>
    <w:p>
      <w:pPr>
        <w:pStyle w:val="TextBody"/>
        <w:bidi w:val="0"/>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232" w:name="_4a5cf50b_e922_4006_a08a_e710fe07163a"/>
      <w:bookmarkEnd w:id="23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233" w:name="StatementsofComprehensiveIncomeLoss_4233"/>
      <w:bookmarkEnd w:id="233"/>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34" w:name="Tc_rFYFBYMFiEKsuDU9mqttrA_9_5"/>
      <w:bookmarkStart w:id="235" w:name="Tc_Q_p5FH82cEy_0IXRpIj1EQ_9_2"/>
      <w:bookmarkStart w:id="236" w:name="Tc_hzTjyoZC9kK8tGNb1ymI2Q_9_0"/>
      <w:bookmarkStart w:id="237" w:name="Tc_Cwg-3AAcb0mDdeAjRqaUFw_8_0"/>
      <w:bookmarkStart w:id="238" w:name="Tc_AiH4520_MUePpLWU9sTBPA_7_0"/>
      <w:bookmarkStart w:id="239" w:name="Tc_3uPv5LvlFEKCKSQn8KZ1Og_6_0"/>
      <w:bookmarkStart w:id="240" w:name="Tc_FnH8VoVUcUiNC-92YWdk7w_5_0"/>
      <w:bookmarkStart w:id="241" w:name="Tc_a-cxw5WMqkmMilmoOQHdeg_4_0"/>
      <w:bookmarkStart w:id="242" w:name="Tc_mKgwte8nbkGBsNK5BMuzZA_3_5"/>
      <w:bookmarkStart w:id="243" w:name="Tc_spEC3gamwE-6cYNB8HbRpw_3_2"/>
      <w:bookmarkStart w:id="244" w:name="Tc_3DPEzzaAPUaYOo8qaINLjg_3_0"/>
      <w:bookmarkStart w:id="245" w:name="Tc_qSWU-VOXsEyZXOZaHpuvOA_2_5"/>
      <w:bookmarkStart w:id="246" w:name="Tc_xWQvYzEor0yEvTexFkohHA_2_2"/>
      <w:bookmarkStart w:id="247" w:name="Tc_9z4SxhDLCUmaey0ifp73vQ_1_2"/>
      <w:bookmarkStart w:id="248" w:name="_1d9dcba3_a6e2_4e31_98d0_5eec8dc08e6a"/>
      <w:bookmarkStart w:id="249" w:name="Tc_rFYFBYMFiEKsuDU9mqttrA_9_5"/>
      <w:bookmarkStart w:id="250" w:name="Tc_Q_p5FH82cEy_0IXRpIj1EQ_9_2"/>
      <w:bookmarkStart w:id="251" w:name="Tc_hzTjyoZC9kK8tGNb1ymI2Q_9_0"/>
      <w:bookmarkStart w:id="252" w:name="Tc_Cwg-3AAcb0mDdeAjRqaUFw_8_0"/>
      <w:bookmarkStart w:id="253" w:name="Tc_AiH4520_MUePpLWU9sTBPA_7_0"/>
      <w:bookmarkStart w:id="254" w:name="Tc_3uPv5LvlFEKCKSQn8KZ1Og_6_0"/>
      <w:bookmarkStart w:id="255" w:name="Tc_FnH8VoVUcUiNC-92YWdk7w_5_0"/>
      <w:bookmarkStart w:id="256" w:name="Tc_a-cxw5WMqkmMilmoOQHdeg_4_0"/>
      <w:bookmarkStart w:id="257" w:name="Tc_mKgwte8nbkGBsNK5BMuzZA_3_5"/>
      <w:bookmarkStart w:id="258" w:name="Tc_spEC3gamwE-6cYNB8HbRpw_3_2"/>
      <w:bookmarkStart w:id="259" w:name="Tc_3DPEzzaAPUaYOo8qaINLjg_3_0"/>
      <w:bookmarkStart w:id="260" w:name="Tc_qSWU-VOXsEyZXOZaHpuvOA_2_5"/>
      <w:bookmarkStart w:id="261" w:name="Tc_xWQvYzEor0yEvTexFkohHA_2_2"/>
      <w:bookmarkStart w:id="262" w:name="Tc_9z4SxhDLCUmaey0ifp73vQ_1_2"/>
      <w:bookmarkStart w:id="263" w:name="_1d9dcba3_a6e2_4e31_98d0_5eec8dc08e6a"/>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9196" w:type="dxa"/>
        <w:jc w:val="left"/>
        <w:tblInd w:w="0" w:type="dxa"/>
        <w:tblLayout w:type="fixed"/>
        <w:tblCellMar>
          <w:top w:w="0" w:type="dxa"/>
          <w:left w:w="0" w:type="dxa"/>
          <w:bottom w:w="0" w:type="dxa"/>
          <w:right w:w="0" w:type="dxa"/>
        </w:tblCellMar>
      </w:tblPr>
      <w:tblGrid>
        <w:gridCol w:w="5716"/>
        <w:gridCol w:w="406"/>
        <w:gridCol w:w="282"/>
        <w:gridCol w:w="1064"/>
        <w:gridCol w:w="462"/>
        <w:gridCol w:w="282"/>
        <w:gridCol w:w="98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29660" cy="175260"/>
                      <wp:effectExtent l="0" t="0" r="0" b="0"/>
                      <wp:wrapNone/>
                      <wp:docPr id="54" name="Frame5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7810" cy="175260"/>
                      <wp:effectExtent l="0" t="0" r="0" b="0"/>
                      <wp:wrapNone/>
                      <wp:docPr id="55" name="Frame5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9070" cy="175260"/>
                      <wp:effectExtent l="0" t="0" r="0" b="0"/>
                      <wp:wrapNone/>
                      <wp:docPr id="56" name="Frame5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75640" cy="175260"/>
                      <wp:effectExtent l="0" t="0" r="0" b="0"/>
                      <wp:wrapNone/>
                      <wp:docPr id="57" name="Frame57"/>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3370" cy="175260"/>
                      <wp:effectExtent l="0" t="0" r="0" b="0"/>
                      <wp:wrapNone/>
                      <wp:docPr id="58" name="Frame58"/>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9070" cy="175260"/>
                      <wp:effectExtent l="0" t="0" r="0" b="0"/>
                      <wp:wrapNone/>
                      <wp:docPr id="59" name="Frame5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24840" cy="175260"/>
                      <wp:effectExtent l="0" t="0" r="0" b="0"/>
                      <wp:wrapNone/>
                      <wp:docPr id="60" name="Frame6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57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3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left"/>
              <w:rPr/>
            </w:pPr>
            <w:r>
              <w:rPr/>
              <w:t>  ​ ​ ​</w:t>
            </w:r>
          </w:p>
        </w:tc>
        <w:tc>
          <w:tcPr>
            <w:tcW w:w="12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40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w:t>
            </w:r>
          </w:p>
        </w:tc>
        <w:tc>
          <w:tcPr>
            <w:tcW w:w="40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40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462"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(15,080)</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40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462"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common shareholders</w:t>
            </w:r>
          </w:p>
        </w:tc>
        <w:tc>
          <w:tcPr>
            <w:tcW w:w="40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(10,879)</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r>
    </w:tbl>
    <w:p>
      <w:pPr>
        <w:pStyle w:val="TextBody"/>
        <w:bidi w:val="0"/>
        <w:spacing w:before="0" w:after="0"/>
        <w:ind w:left="360" w:right="0" w:hanging="0"/>
        <w:jc w:val="both"/>
        <w:rPr/>
      </w:pPr>
      <w:r>
        <w:rPr/>
        <w:t>​</w:t>
      </w:r>
    </w:p>
    <w:p>
      <w:pPr>
        <w:pStyle w:val="TextBody"/>
        <w:bidi w:val="0"/>
        <w:spacing w:before="0" w:after="0"/>
        <w:ind w:left="360" w:right="0" w:hanging="0"/>
        <w:jc w:val="center"/>
        <w:rPr/>
      </w:pPr>
      <w:r>
        <w:rPr/>
        <w:t>​</w:t>
      </w:r>
    </w:p>
    <w:p>
      <w:pPr>
        <w:pStyle w:val="TextBody"/>
        <w:bidi w:val="0"/>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4" w:name="_a0035158_6245_4016_8793_397ca0596b62"/>
      <w:bookmarkEnd w:id="264"/>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265" w:name="StatementsofChangesinEquity_733423"/>
      <w:bookmarkEnd w:id="265"/>
      <w:r>
        <w:rPr>
          <w:rFonts w:ascii="Times New Roman;Times;serif" w:hAnsi="Times New Roman;Times;serif"/>
          <w:b/>
          <w:sz w:val="20"/>
        </w:rPr>
        <w:t>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6" w:name="Tc_AKLfZyDHxU-nJTW7RrDfyw_16_18"/>
      <w:bookmarkStart w:id="267" w:name="Tc_-x2TJl2xB0W6hBDKb7sgxA_16_14"/>
      <w:bookmarkStart w:id="268" w:name="Tc_0oAnZbqRVEOR5bE7M5oRSg_16_11"/>
      <w:bookmarkStart w:id="269" w:name="Tc_94ojo0p7LUqnQpneiEEawA_16_8"/>
      <w:bookmarkStart w:id="270" w:name="Tc_ybEXGpMa6kSfc4NvF3riEQ_16_5"/>
      <w:bookmarkStart w:id="271" w:name="Tc_mqT-9mNoR0KZ900HDGdddA_16_2"/>
      <w:bookmarkStart w:id="272" w:name="Tc_z1HCrGg85EOdZAFmsZclpw_16_0"/>
      <w:bookmarkStart w:id="273" w:name="Tc_S-WmEnnKZUqYHU2h4wjOJw_15_12"/>
      <w:bookmarkStart w:id="274" w:name="Tc_C4hB42hmyUCxRTWp36aK6g_15_9"/>
      <w:bookmarkStart w:id="275" w:name="Tc_-P7Kp12XFUuya8JoOK8cEQ_15_6"/>
      <w:bookmarkStart w:id="276" w:name="Tc_C4gz7MDvK0KBJMhNqJZOpA_15_3"/>
      <w:bookmarkStart w:id="277" w:name="Tc_GvyCtrtfqkaAAAUtl81BQg_15_0"/>
      <w:bookmarkStart w:id="278" w:name="Tc_T9LPJ7nX2UmjZSbh0I_ZeA_14_15"/>
      <w:bookmarkStart w:id="279" w:name="Tc_rIPjDRguGk2PG-rR_mK2oQ_14_9"/>
      <w:bookmarkStart w:id="280" w:name="Tc_fhL0aQ6o4UqdHV2zVOudAg_14_6"/>
      <w:bookmarkStart w:id="281" w:name="Tc_KjeYHF52IEa6Nwilk7Q82g_14_3"/>
      <w:bookmarkStart w:id="282" w:name="Tc_fjyFi5GzIkeZTBGhmnjo4w_14_0"/>
      <w:bookmarkStart w:id="283" w:name="Tc_N-2I8kxC7kWc1OF3ZvUA7Q_13_12"/>
      <w:bookmarkStart w:id="284" w:name="Tc_OV_ZGtyUK0C7ebJC5ttlSQ_13_6"/>
      <w:bookmarkStart w:id="285" w:name="Tc_oixCNl1bkUybzyfouKymCA_13_3"/>
      <w:bookmarkStart w:id="286" w:name="Tc_DGw5CrGI9U6fJEFJMHxmiQ_13_0"/>
      <w:bookmarkStart w:id="287" w:name="Tc_wSPjpsQ5IUa7pjBTrKeTXg_12_18"/>
      <w:bookmarkStart w:id="288" w:name="Tc_UbJ-1CoGlUKLZ0lvVU7tcw_12_14"/>
      <w:bookmarkStart w:id="289" w:name="Tc_fYtRMnEDe0eDXVTgM9OdOQ_12_11"/>
      <w:bookmarkStart w:id="290" w:name="Tc_GXzHlptIVU-PJBlyiWh8gg_12_8"/>
      <w:bookmarkStart w:id="291" w:name="Tc_JgO127O5zUGcn-GgtVjd9Q_12_5"/>
      <w:bookmarkStart w:id="292" w:name="Tc_r8MNedRmAkS8nHUfwnkOYA_12_2"/>
      <w:bookmarkStart w:id="293" w:name="Tc_TBXv8H-90EqlWSA5T4O1xA_12_0"/>
      <w:bookmarkStart w:id="294" w:name="Tc_Vh5AVtjrg0aYlgeqiTI-Wg_10_18"/>
      <w:bookmarkStart w:id="295" w:name="Tc_E2RbxWmCZ0eybeKFqMAkLA_10_14"/>
      <w:bookmarkStart w:id="296" w:name="Tc_9MMMWg6TfEu6ZHF9eMCl1g_10_11"/>
      <w:bookmarkStart w:id="297" w:name="Tc_sCsArfKTY0C3wqZALi8j2g_10_8"/>
      <w:bookmarkStart w:id="298" w:name="Tc_5iJyf84xjkWlkNVTd3bE3Q_10_5"/>
      <w:bookmarkStart w:id="299" w:name="Tc_E0TW-RtsykSOMJVhu1LSVQ_10_2"/>
      <w:bookmarkStart w:id="300" w:name="Tc_HaNJ7losTku9YnpZwrzLhQ_10_0"/>
      <w:bookmarkStart w:id="301" w:name="Tc_5_IeECrMwE-9KlxO3vWHZA_9_12"/>
      <w:bookmarkStart w:id="302" w:name="Tc_wW4uzsVe-E2jayvw4a7CcQ_9_9"/>
      <w:bookmarkStart w:id="303" w:name="Tc_aMEMDRbAjUCJxsES6FwZgQ_9_6"/>
      <w:bookmarkStart w:id="304" w:name="Tc_cGUySROC00G9jZfvJvh5-w_9_3"/>
      <w:bookmarkStart w:id="305" w:name="Tc_siJ8DQteeEeE-92L_w8X0A_9_0"/>
      <w:bookmarkStart w:id="306" w:name="Tc_1H_Ma4-BVESoTqf5viVYrw_8_15"/>
      <w:bookmarkStart w:id="307" w:name="Tc_730iBk_uTUixeIwYzR5tiQ_8_12"/>
      <w:bookmarkStart w:id="308" w:name="Tc_uCKIUoPsAkq1NBQFzQqu-A_8_9"/>
      <w:bookmarkStart w:id="309" w:name="Tc_XKfkryqaZkSS211rennfNA_8_3"/>
      <w:bookmarkStart w:id="310" w:name="Tc_8MpNo86rA0ury6MzhZrQ9A_8_0"/>
      <w:bookmarkStart w:id="311" w:name="Tc_m8F9DNxjIk-Q4G7b6tNB-w_7_15"/>
      <w:bookmarkStart w:id="312" w:name="Tc_bfyjxWQnq0O5NzJseEgCaQ_7_9"/>
      <w:bookmarkStart w:id="313" w:name="Tc_nKNvXVT3KkyO-dpBJCpzlA_7_6"/>
      <w:bookmarkStart w:id="314" w:name="Tc_pErMlLLreUKlow8Qdgj5Hg_7_3"/>
      <w:bookmarkStart w:id="315" w:name="Tc_jjKrn2jiJkmwZTaJ7yfpSw_7_0"/>
      <w:bookmarkStart w:id="316" w:name="Tc_10G7kj-d5Ei7kvUL7U-WmQ_6_12"/>
      <w:bookmarkStart w:id="317" w:name="Tc_IaHlEFdcA0eVnLGdEX-CcQ_6_6"/>
      <w:bookmarkStart w:id="318" w:name="Tc_fOXDjfudhUypEfBc-mK8eg_6_3"/>
      <w:bookmarkStart w:id="319" w:name="Tc_mhEy2Yv8m0ifCJZnxfezdA_6_0"/>
      <w:bookmarkStart w:id="320" w:name="Tc_zbjRaCUDY0WE8wuC6KOSDA_5_18"/>
      <w:bookmarkStart w:id="321" w:name="Tc_CDNjGcChKkmmwAWrd7X71A_5_14"/>
      <w:bookmarkStart w:id="322" w:name="Tc_nXHY31YXs0WOYUvo9j_I-g_5_11"/>
      <w:bookmarkStart w:id="323" w:name="Tc_4SbaldLWAUiZOEDfznXtkw_5_8"/>
      <w:bookmarkStart w:id="324" w:name="Tc_56eZuWU4lEiq2oxG9HlEEw_5_5"/>
      <w:bookmarkStart w:id="325" w:name="Tc_wUrbAce-uE6PIJj_8KhTJQ_5_2"/>
      <w:bookmarkStart w:id="326" w:name="Tc_EALeKzE9pUOlYtrank-cqA_5_0"/>
      <w:bookmarkStart w:id="327" w:name="Tc_eEOqU4Ew80GvKcnInJq6wA_4_18"/>
      <w:bookmarkStart w:id="328" w:name="Tc_W95BZO7MKUWBXuZ9AEokaw_4_15"/>
      <w:bookmarkStart w:id="329" w:name="Tc_tT8RzASbvEycJ0zyOkrQvw_4_11"/>
      <w:bookmarkStart w:id="330" w:name="Tc_ZJTbP2v-Qk-uCiTcVv9Ipw_4_9"/>
      <w:bookmarkStart w:id="331" w:name="Tc_pE36Qzwu1EGL_-W3awobJQ_4_6"/>
      <w:bookmarkStart w:id="332" w:name="Tc_FGKhxC7tlkSRwnERck8_Nw_4_3"/>
      <w:bookmarkStart w:id="333" w:name="Tc_SGB-YK6ZBUiAyvGZ6U-Abg_3_18"/>
      <w:bookmarkStart w:id="334" w:name="Tc_TMVJ-EvBCUyoAxePseZcJg_3_15"/>
      <w:bookmarkStart w:id="335" w:name="Tc_S-kLz-NrW0yMEyj69K2naQ_3_11"/>
      <w:bookmarkStart w:id="336" w:name="Tc__lZK-70us0Syv15OuERSJg_3_9"/>
      <w:bookmarkStart w:id="337" w:name="Tc_tZuxIQESaE2Kw05wCEDc-g_3_6"/>
      <w:bookmarkStart w:id="338" w:name="Tc_Fi83NvkbV0mRqzzYMAorpg_3_3"/>
      <w:bookmarkStart w:id="339" w:name="Tc_oIqFhYdoqkarbAedpDSiww_2_11"/>
      <w:bookmarkStart w:id="340" w:name="Tc_IGJd-VyEFke2EZSnc-BDOg_2_6"/>
      <w:bookmarkStart w:id="341" w:name="Tc_GJNBAZtJCEOW5fdGdOaB-Q_2_3"/>
      <w:bookmarkStart w:id="342" w:name="_ff5c115e_e794_40df_b7e5_053d432842c4"/>
      <w:bookmarkStart w:id="343" w:name="Tc_AKLfZyDHxU-nJTW7RrDfyw_16_18"/>
      <w:bookmarkStart w:id="344" w:name="Tc_-x2TJl2xB0W6hBDKb7sgxA_16_14"/>
      <w:bookmarkStart w:id="345" w:name="Tc_0oAnZbqRVEOR5bE7M5oRSg_16_11"/>
      <w:bookmarkStart w:id="346" w:name="Tc_94ojo0p7LUqnQpneiEEawA_16_8"/>
      <w:bookmarkStart w:id="347" w:name="Tc_ybEXGpMa6kSfc4NvF3riEQ_16_5"/>
      <w:bookmarkStart w:id="348" w:name="Tc_mqT-9mNoR0KZ900HDGdddA_16_2"/>
      <w:bookmarkStart w:id="349" w:name="Tc_z1HCrGg85EOdZAFmsZclpw_16_0"/>
      <w:bookmarkStart w:id="350" w:name="Tc_S-WmEnnKZUqYHU2h4wjOJw_15_12"/>
      <w:bookmarkStart w:id="351" w:name="Tc_C4hB42hmyUCxRTWp36aK6g_15_9"/>
      <w:bookmarkStart w:id="352" w:name="Tc_-P7Kp12XFUuya8JoOK8cEQ_15_6"/>
      <w:bookmarkStart w:id="353" w:name="Tc_C4gz7MDvK0KBJMhNqJZOpA_15_3"/>
      <w:bookmarkStart w:id="354" w:name="Tc_GvyCtrtfqkaAAAUtl81BQg_15_0"/>
      <w:bookmarkStart w:id="355" w:name="Tc_T9LPJ7nX2UmjZSbh0I_ZeA_14_15"/>
      <w:bookmarkStart w:id="356" w:name="Tc_rIPjDRguGk2PG-rR_mK2oQ_14_9"/>
      <w:bookmarkStart w:id="357" w:name="Tc_fhL0aQ6o4UqdHV2zVOudAg_14_6"/>
      <w:bookmarkStart w:id="358" w:name="Tc_KjeYHF52IEa6Nwilk7Q82g_14_3"/>
      <w:bookmarkStart w:id="359" w:name="Tc_fjyFi5GzIkeZTBGhmnjo4w_14_0"/>
      <w:bookmarkStart w:id="360" w:name="Tc_N-2I8kxC7kWc1OF3ZvUA7Q_13_12"/>
      <w:bookmarkStart w:id="361" w:name="Tc_OV_ZGtyUK0C7ebJC5ttlSQ_13_6"/>
      <w:bookmarkStart w:id="362" w:name="Tc_oixCNl1bkUybzyfouKymCA_13_3"/>
      <w:bookmarkStart w:id="363" w:name="Tc_DGw5CrGI9U6fJEFJMHxmiQ_13_0"/>
      <w:bookmarkStart w:id="364" w:name="Tc_wSPjpsQ5IUa7pjBTrKeTXg_12_18"/>
      <w:bookmarkStart w:id="365" w:name="Tc_UbJ-1CoGlUKLZ0lvVU7tcw_12_14"/>
      <w:bookmarkStart w:id="366" w:name="Tc_fYtRMnEDe0eDXVTgM9OdOQ_12_11"/>
      <w:bookmarkStart w:id="367" w:name="Tc_GXzHlptIVU-PJBlyiWh8gg_12_8"/>
      <w:bookmarkStart w:id="368" w:name="Tc_JgO127O5zUGcn-GgtVjd9Q_12_5"/>
      <w:bookmarkStart w:id="369" w:name="Tc_r8MNedRmAkS8nHUfwnkOYA_12_2"/>
      <w:bookmarkStart w:id="370" w:name="Tc_TBXv8H-90EqlWSA5T4O1xA_12_0"/>
      <w:bookmarkStart w:id="371" w:name="Tc_Vh5AVtjrg0aYlgeqiTI-Wg_10_18"/>
      <w:bookmarkStart w:id="372" w:name="Tc_E2RbxWmCZ0eybeKFqMAkLA_10_14"/>
      <w:bookmarkStart w:id="373" w:name="Tc_9MMMWg6TfEu6ZHF9eMCl1g_10_11"/>
      <w:bookmarkStart w:id="374" w:name="Tc_sCsArfKTY0C3wqZALi8j2g_10_8"/>
      <w:bookmarkStart w:id="375" w:name="Tc_5iJyf84xjkWlkNVTd3bE3Q_10_5"/>
      <w:bookmarkStart w:id="376" w:name="Tc_E0TW-RtsykSOMJVhu1LSVQ_10_2"/>
      <w:bookmarkStart w:id="377" w:name="Tc_HaNJ7losTku9YnpZwrzLhQ_10_0"/>
      <w:bookmarkStart w:id="378" w:name="Tc_5_IeECrMwE-9KlxO3vWHZA_9_12"/>
      <w:bookmarkStart w:id="379" w:name="Tc_wW4uzsVe-E2jayvw4a7CcQ_9_9"/>
      <w:bookmarkStart w:id="380" w:name="Tc_aMEMDRbAjUCJxsES6FwZgQ_9_6"/>
      <w:bookmarkStart w:id="381" w:name="Tc_cGUySROC00G9jZfvJvh5-w_9_3"/>
      <w:bookmarkStart w:id="382" w:name="Tc_siJ8DQteeEeE-92L_w8X0A_9_0"/>
      <w:bookmarkStart w:id="383" w:name="Tc_1H_Ma4-BVESoTqf5viVYrw_8_15"/>
      <w:bookmarkStart w:id="384" w:name="Tc_730iBk_uTUixeIwYzR5tiQ_8_12"/>
      <w:bookmarkStart w:id="385" w:name="Tc_uCKIUoPsAkq1NBQFzQqu-A_8_9"/>
      <w:bookmarkStart w:id="386" w:name="Tc_XKfkryqaZkSS211rennfNA_8_3"/>
      <w:bookmarkStart w:id="387" w:name="Tc_8MpNo86rA0ury6MzhZrQ9A_8_0"/>
      <w:bookmarkStart w:id="388" w:name="Tc_m8F9DNxjIk-Q4G7b6tNB-w_7_15"/>
      <w:bookmarkStart w:id="389" w:name="Tc_bfyjxWQnq0O5NzJseEgCaQ_7_9"/>
      <w:bookmarkStart w:id="390" w:name="Tc_nKNvXVT3KkyO-dpBJCpzlA_7_6"/>
      <w:bookmarkStart w:id="391" w:name="Tc_pErMlLLreUKlow8Qdgj5Hg_7_3"/>
      <w:bookmarkStart w:id="392" w:name="Tc_jjKrn2jiJkmwZTaJ7yfpSw_7_0"/>
      <w:bookmarkStart w:id="393" w:name="Tc_10G7kj-d5Ei7kvUL7U-WmQ_6_12"/>
      <w:bookmarkStart w:id="394" w:name="Tc_IaHlEFdcA0eVnLGdEX-CcQ_6_6"/>
      <w:bookmarkStart w:id="395" w:name="Tc_fOXDjfudhUypEfBc-mK8eg_6_3"/>
      <w:bookmarkStart w:id="396" w:name="Tc_mhEy2Yv8m0ifCJZnxfezdA_6_0"/>
      <w:bookmarkStart w:id="397" w:name="Tc_zbjRaCUDY0WE8wuC6KOSDA_5_18"/>
      <w:bookmarkStart w:id="398" w:name="Tc_CDNjGcChKkmmwAWrd7X71A_5_14"/>
      <w:bookmarkStart w:id="399" w:name="Tc_nXHY31YXs0WOYUvo9j_I-g_5_11"/>
      <w:bookmarkStart w:id="400" w:name="Tc_4SbaldLWAUiZOEDfznXtkw_5_8"/>
      <w:bookmarkStart w:id="401" w:name="Tc_56eZuWU4lEiq2oxG9HlEEw_5_5"/>
      <w:bookmarkStart w:id="402" w:name="Tc_wUrbAce-uE6PIJj_8KhTJQ_5_2"/>
      <w:bookmarkStart w:id="403" w:name="Tc_EALeKzE9pUOlYtrank-cqA_5_0"/>
      <w:bookmarkStart w:id="404" w:name="Tc_eEOqU4Ew80GvKcnInJq6wA_4_18"/>
      <w:bookmarkStart w:id="405" w:name="Tc_W95BZO7MKUWBXuZ9AEokaw_4_15"/>
      <w:bookmarkStart w:id="406" w:name="Tc_tT8RzASbvEycJ0zyOkrQvw_4_11"/>
      <w:bookmarkStart w:id="407" w:name="Tc_ZJTbP2v-Qk-uCiTcVv9Ipw_4_9"/>
      <w:bookmarkStart w:id="408" w:name="Tc_pE36Qzwu1EGL_-W3awobJQ_4_6"/>
      <w:bookmarkStart w:id="409" w:name="Tc_FGKhxC7tlkSRwnERck8_Nw_4_3"/>
      <w:bookmarkStart w:id="410" w:name="Tc_SGB-YK6ZBUiAyvGZ6U-Abg_3_18"/>
      <w:bookmarkStart w:id="411" w:name="Tc_TMVJ-EvBCUyoAxePseZcJg_3_15"/>
      <w:bookmarkStart w:id="412" w:name="Tc_S-kLz-NrW0yMEyj69K2naQ_3_11"/>
      <w:bookmarkStart w:id="413" w:name="Tc__lZK-70us0Syv15OuERSJg_3_9"/>
      <w:bookmarkStart w:id="414" w:name="Tc_tZuxIQESaE2Kw05wCEDc-g_3_6"/>
      <w:bookmarkStart w:id="415" w:name="Tc_Fi83NvkbV0mRqzzYMAorpg_3_3"/>
      <w:bookmarkStart w:id="416" w:name="Tc_oIqFhYdoqkarbAedpDSiww_2_11"/>
      <w:bookmarkStart w:id="417" w:name="Tc_IGJd-VyEFke2EZSnc-BDOg_2_6"/>
      <w:bookmarkStart w:id="418" w:name="Tc_GJNBAZtJCEOW5fdGdOaB-Q_2_3"/>
      <w:bookmarkStart w:id="419" w:name="_ff5c115e_e794_40df_b7e5_053d432842c4"/>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tbl>
      <w:tblPr>
        <w:tblW w:w="10539" w:type="dxa"/>
        <w:jc w:val="left"/>
        <w:tblInd w:w="0" w:type="dxa"/>
        <w:tblLayout w:type="fixed"/>
        <w:tblCellMar>
          <w:top w:w="0" w:type="dxa"/>
          <w:left w:w="0" w:type="dxa"/>
          <w:bottom w:w="0" w:type="dxa"/>
          <w:right w:w="0" w:type="dxa"/>
        </w:tblCellMar>
      </w:tblPr>
      <w:tblGrid>
        <w:gridCol w:w="1246"/>
        <w:gridCol w:w="346"/>
        <w:gridCol w:w="196"/>
        <w:gridCol w:w="766"/>
        <w:gridCol w:w="346"/>
        <w:gridCol w:w="196"/>
        <w:gridCol w:w="871"/>
        <w:gridCol w:w="346"/>
        <w:gridCol w:w="196"/>
        <w:gridCol w:w="1051"/>
        <w:gridCol w:w="346"/>
        <w:gridCol w:w="310"/>
        <w:gridCol w:w="906"/>
        <w:gridCol w:w="346"/>
        <w:gridCol w:w="196"/>
        <w:gridCol w:w="1201"/>
        <w:gridCol w:w="346"/>
        <w:gridCol w:w="346"/>
        <w:gridCol w:w="196"/>
        <w:gridCol w:w="78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91210" cy="175260"/>
                      <wp:effectExtent l="0" t="0" r="0" b="0"/>
                      <wp:wrapNone/>
                      <wp:docPr id="61" name="Frame6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6410" cy="175260"/>
                      <wp:effectExtent l="0" t="0" r="0" b="0"/>
                      <wp:wrapNone/>
                      <wp:docPr id="64" name="Frame6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53085" cy="175260"/>
                      <wp:effectExtent l="0" t="0" r="0" b="0"/>
                      <wp:wrapNone/>
                      <wp:docPr id="67" name="Frame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7385" cy="175260"/>
                      <wp:effectExtent l="0" t="0" r="0" b="0"/>
                      <wp:wrapNone/>
                      <wp:docPr id="70" name="Frame7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6850" cy="175260"/>
                      <wp:effectExtent l="0" t="0" r="0" b="0"/>
                      <wp:wrapNone/>
                      <wp:docPr id="72" name="Frame7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5310" cy="175260"/>
                      <wp:effectExtent l="0" t="0" r="0" b="0"/>
                      <wp:wrapNone/>
                      <wp:docPr id="73" name="Frame7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62635" cy="175260"/>
                      <wp:effectExtent l="0" t="0" r="0" b="0"/>
                      <wp:wrapNone/>
                      <wp:docPr id="76" name="Frame7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9110" cy="175260"/>
                      <wp:effectExtent l="0" t="0" r="0" b="0"/>
                      <wp:wrapNone/>
                      <wp:docPr id="80" name="Frame8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30" w:type="dxa"/>
            <w:gridSpan w:val="11"/>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Comprehensive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599,623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(347,445)</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14,100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265,866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(10,257)</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(14,458)</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noncontrolling interests (refer to Note 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(8,635)</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March 31, 2026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(357,702)</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240,153</w:t>
            </w:r>
          </w:p>
        </w:tc>
      </w:tr>
      <w:tr>
        <w:trPr/>
        <w:tc>
          <w:tcPr>
            <w:tcW w:w="1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December 31, 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(283,196)</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20,660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344,996</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(7,604)</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March 31, 2025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607,623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(290,800)</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20,231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336,369</w:t>
            </w:r>
          </w:p>
        </w:tc>
      </w:tr>
    </w:tbl>
    <w:p>
      <w:pPr>
        <w:pStyle w:val="TextBody"/>
        <w:bidi w:val="0"/>
        <w:spacing w:before="0" w:after="100"/>
        <w:ind w:left="36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0" w:name="_979273d8_4dda_4142_b781_7e0f90e4d4a9"/>
      <w:bookmarkEnd w:id="420"/>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421" w:name="CashFlows_705700"/>
      <w:bookmarkEnd w:id="421"/>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2" w:name="Tc_F6FOc9fzI0eeM-01Mnvlyg_39_5"/>
      <w:bookmarkStart w:id="423" w:name="Tc_t9pMBJc9VEaHFa414HOHbg_39_2"/>
      <w:bookmarkStart w:id="424" w:name="Tc_l5ENhiT9ekCTyPnUnpBuKA_39_0"/>
      <w:bookmarkStart w:id="425" w:name="Tc_EmBHhMEJN0yDHmdibWX2OQ_38_0"/>
      <w:bookmarkStart w:id="426" w:name="Tc_9Izt-i2wgke4SqGDSpzsAw_37_0"/>
      <w:bookmarkStart w:id="427" w:name="Tc_sFrBIxBDt0Gahy1apXfnvA_36_0"/>
      <w:bookmarkStart w:id="428" w:name="Tc_oXsoObrk1EWa_M9PgXtfPQ_35_0"/>
      <w:bookmarkStart w:id="429" w:name="Tc_PJexSN785UyEhOJprSNPKA_34_6"/>
      <w:bookmarkStart w:id="430" w:name="Tc_o1SgG8DT-E2GqQyxzL8omg_34_0"/>
      <w:bookmarkStart w:id="431" w:name="Tc_iarJdu8NjkqTndzh0eNwZg_33_3"/>
      <w:bookmarkStart w:id="432" w:name="Tc_Rsu-6D6TyUC9R0Zm1gdpzA_33_0"/>
      <w:bookmarkStart w:id="433" w:name="Tc_Ay6qIG2Y6UeB3fRvGYf6UQ_32_6"/>
      <w:bookmarkStart w:id="434" w:name="Tc_tCj3CeUHvEuwl_jjx7Yn7w_32_0"/>
      <w:bookmarkStart w:id="435" w:name="Tc_u9apBlJ0cUqjIty8G0UFgg_31_3"/>
      <w:bookmarkStart w:id="436" w:name="Tc_IRYEtB5jQk6frJVizf9xxQ_31_0"/>
      <w:bookmarkStart w:id="437" w:name="Tc_V9ghpfhruE6P5SGar2fBpw_30_0"/>
      <w:bookmarkStart w:id="438" w:name="Tc_ZYnUIUh-wUWNfzRGMEfWpw_29_0"/>
      <w:bookmarkStart w:id="439" w:name="Tc_emV1n8Q_QUqRpfNuccG4Bw_28_0"/>
      <w:bookmarkStart w:id="440" w:name="Tc_79vfirD7D0utvk20XYvXuw_27_0"/>
      <w:bookmarkStart w:id="441" w:name="Tc_sO1G7llN0keqovbbFslWVA_26_6"/>
      <w:bookmarkStart w:id="442" w:name="Tc_ve7Y_JJko0We3B5Tf1ewLg_26_0"/>
      <w:bookmarkStart w:id="443" w:name="Tc_dqicRDJxq0mSFW83u215ig_25_0"/>
      <w:bookmarkStart w:id="444" w:name="Tc_HMww0z-bPUO12B9ijuFjLg_24_0"/>
      <w:bookmarkStart w:id="445" w:name="Tc_1bLA5q85SU6CoZ61Vm6SXQ_23_0"/>
      <w:bookmarkStart w:id="446" w:name="Tc_VsF6_TCnbkaQ_mx9Ib7urw_22_0"/>
      <w:bookmarkStart w:id="447" w:name="Tc_4NF0snkSbUmNUXn_JANqtw_21_6"/>
      <w:bookmarkStart w:id="448" w:name="Tc_0v4KV1j0mkWVYoj7P0WdcA_21_0"/>
      <w:bookmarkStart w:id="449" w:name="Tc_ajyebPc2hUGn_vrmG2XGCA_20_0"/>
      <w:bookmarkStart w:id="450" w:name="Tc_d6SNrxOLEUmrjQn2K8B_pQ_19_0"/>
      <w:bookmarkStart w:id="451" w:name="Tc_nFE2kcuU40--aacRitD4ug_18_0"/>
      <w:bookmarkStart w:id="452" w:name="Tc_rDC5OVs7E0GzgYliLyhD0Q_17_0"/>
      <w:bookmarkStart w:id="453" w:name="Tc_pJ7b_vL2qkia2geQ8DDSRQ_16_0"/>
      <w:bookmarkStart w:id="454" w:name="Tc_b6WMvqNHk0yME2F87pxUWg_15_0"/>
      <w:bookmarkStart w:id="455" w:name="Tc_1ShfJiSNI0S-AsJbGq_Y8Q_14_0"/>
      <w:bookmarkStart w:id="456" w:name="Tc_Ffx7gcQXvki97IZXmEbtHg_13_0"/>
      <w:bookmarkStart w:id="457" w:name="Tc_Pn-QxNVYskCt8mlD4lxr-w_12_3"/>
      <w:bookmarkStart w:id="458" w:name="Tc_arPAHKor3EGVm4B456Yp1A_12_0"/>
      <w:bookmarkStart w:id="459" w:name="Tc_Arx62ruvuUiUvpGj6dwtoA_11_0"/>
      <w:bookmarkStart w:id="460" w:name="Tc_uO9khLuaIkisNSbY9Q3qCA_10_0"/>
      <w:bookmarkStart w:id="461" w:name="Tc_O86j7EpVMUqXwIM8UzIHqA_9_0"/>
      <w:bookmarkStart w:id="462" w:name="Tc_H7rlT3MraEaf2SvOKUgveA_8_0"/>
      <w:bookmarkStart w:id="463" w:name="Tc_w6M1aegyEki-gHL95PmjLw_7_0"/>
      <w:bookmarkStart w:id="464" w:name="Tc_RXlKFiLtWUaGeqoG71LTcA_6_0"/>
      <w:bookmarkStart w:id="465" w:name="Tc_YMYb0bnwqE29w0mrpD7uUg_5_0"/>
      <w:bookmarkStart w:id="466" w:name="Tc_uRdMB6DrMkqDohMlUhlYgQ_4_5"/>
      <w:bookmarkStart w:id="467" w:name="Tc_lxJJWdwXFkaKbXfmMto9Iw_4_2"/>
      <w:bookmarkStart w:id="468" w:name="Tc_ri4Sb2QiqEa8YiRPzfm-LA_4_0"/>
      <w:bookmarkStart w:id="469" w:name="Tc_5-8Raaf4D0y3os69_cMDpg_3_0"/>
      <w:bookmarkStart w:id="470" w:name="Tc_oFGwzDVSUUiIL5VfjnUEGw_2_5"/>
      <w:bookmarkStart w:id="471" w:name="Tc_LXacT02BWU-rv3C4QCKygw_2_2"/>
      <w:bookmarkStart w:id="472" w:name="Tc_EEEz4XsFq0mNKrNdh3eHCw_1_2"/>
      <w:bookmarkStart w:id="473" w:name="_29bb6ce8_427b_4cf8_a1ce_0377a0f733f0"/>
      <w:bookmarkStart w:id="474" w:name="Tc_F6FOc9fzI0eeM-01Mnvlyg_39_5"/>
      <w:bookmarkStart w:id="475" w:name="Tc_t9pMBJc9VEaHFa414HOHbg_39_2"/>
      <w:bookmarkStart w:id="476" w:name="Tc_l5ENhiT9ekCTyPnUnpBuKA_39_0"/>
      <w:bookmarkStart w:id="477" w:name="Tc_EmBHhMEJN0yDHmdibWX2OQ_38_0"/>
      <w:bookmarkStart w:id="478" w:name="Tc_9Izt-i2wgke4SqGDSpzsAw_37_0"/>
      <w:bookmarkStart w:id="479" w:name="Tc_sFrBIxBDt0Gahy1apXfnvA_36_0"/>
      <w:bookmarkStart w:id="480" w:name="Tc_oXsoObrk1EWa_M9PgXtfPQ_35_0"/>
      <w:bookmarkStart w:id="481" w:name="Tc_PJexSN785UyEhOJprSNPKA_34_6"/>
      <w:bookmarkStart w:id="482" w:name="Tc_o1SgG8DT-E2GqQyxzL8omg_34_0"/>
      <w:bookmarkStart w:id="483" w:name="Tc_iarJdu8NjkqTndzh0eNwZg_33_3"/>
      <w:bookmarkStart w:id="484" w:name="Tc_Rsu-6D6TyUC9R0Zm1gdpzA_33_0"/>
      <w:bookmarkStart w:id="485" w:name="Tc_Ay6qIG2Y6UeB3fRvGYf6UQ_32_6"/>
      <w:bookmarkStart w:id="486" w:name="Tc_tCj3CeUHvEuwl_jjx7Yn7w_32_0"/>
      <w:bookmarkStart w:id="487" w:name="Tc_u9apBlJ0cUqjIty8G0UFgg_31_3"/>
      <w:bookmarkStart w:id="488" w:name="Tc_IRYEtB5jQk6frJVizf9xxQ_31_0"/>
      <w:bookmarkStart w:id="489" w:name="Tc_V9ghpfhruE6P5SGar2fBpw_30_0"/>
      <w:bookmarkStart w:id="490" w:name="Tc_ZYnUIUh-wUWNfzRGMEfWpw_29_0"/>
      <w:bookmarkStart w:id="491" w:name="Tc_emV1n8Q_QUqRpfNuccG4Bw_28_0"/>
      <w:bookmarkStart w:id="492" w:name="Tc_79vfirD7D0utvk20XYvXuw_27_0"/>
      <w:bookmarkStart w:id="493" w:name="Tc_sO1G7llN0keqovbbFslWVA_26_6"/>
      <w:bookmarkStart w:id="494" w:name="Tc_ve7Y_JJko0We3B5Tf1ewLg_26_0"/>
      <w:bookmarkStart w:id="495" w:name="Tc_dqicRDJxq0mSFW83u215ig_25_0"/>
      <w:bookmarkStart w:id="496" w:name="Tc_HMww0z-bPUO12B9ijuFjLg_24_0"/>
      <w:bookmarkStart w:id="497" w:name="Tc_1bLA5q85SU6CoZ61Vm6SXQ_23_0"/>
      <w:bookmarkStart w:id="498" w:name="Tc_VsF6_TCnbkaQ_mx9Ib7urw_22_0"/>
      <w:bookmarkStart w:id="499" w:name="Tc_4NF0snkSbUmNUXn_JANqtw_21_6"/>
      <w:bookmarkStart w:id="500" w:name="Tc_0v4KV1j0mkWVYoj7P0WdcA_21_0"/>
      <w:bookmarkStart w:id="501" w:name="Tc_ajyebPc2hUGn_vrmG2XGCA_20_0"/>
      <w:bookmarkStart w:id="502" w:name="Tc_d6SNrxOLEUmrjQn2K8B_pQ_19_0"/>
      <w:bookmarkStart w:id="503" w:name="Tc_nFE2kcuU40--aacRitD4ug_18_0"/>
      <w:bookmarkStart w:id="504" w:name="Tc_rDC5OVs7E0GzgYliLyhD0Q_17_0"/>
      <w:bookmarkStart w:id="505" w:name="Tc_pJ7b_vL2qkia2geQ8DDSRQ_16_0"/>
      <w:bookmarkStart w:id="506" w:name="Tc_b6WMvqNHk0yME2F87pxUWg_15_0"/>
      <w:bookmarkStart w:id="507" w:name="Tc_1ShfJiSNI0S-AsJbGq_Y8Q_14_0"/>
      <w:bookmarkStart w:id="508" w:name="Tc_Ffx7gcQXvki97IZXmEbtHg_13_0"/>
      <w:bookmarkStart w:id="509" w:name="Tc_Pn-QxNVYskCt8mlD4lxr-w_12_3"/>
      <w:bookmarkStart w:id="510" w:name="Tc_arPAHKor3EGVm4B456Yp1A_12_0"/>
      <w:bookmarkStart w:id="511" w:name="Tc_Arx62ruvuUiUvpGj6dwtoA_11_0"/>
      <w:bookmarkStart w:id="512" w:name="Tc_uO9khLuaIkisNSbY9Q3qCA_10_0"/>
      <w:bookmarkStart w:id="513" w:name="Tc_O86j7EpVMUqXwIM8UzIHqA_9_0"/>
      <w:bookmarkStart w:id="514" w:name="Tc_H7rlT3MraEaf2SvOKUgveA_8_0"/>
      <w:bookmarkStart w:id="515" w:name="Tc_w6M1aegyEki-gHL95PmjLw_7_0"/>
      <w:bookmarkStart w:id="516" w:name="Tc_RXlKFiLtWUaGeqoG71LTcA_6_0"/>
      <w:bookmarkStart w:id="517" w:name="Tc_YMYb0bnwqE29w0mrpD7uUg_5_0"/>
      <w:bookmarkStart w:id="518" w:name="Tc_uRdMB6DrMkqDohMlUhlYgQ_4_5"/>
      <w:bookmarkStart w:id="519" w:name="Tc_lxJJWdwXFkaKbXfmMto9Iw_4_2"/>
      <w:bookmarkStart w:id="520" w:name="Tc_ri4Sb2QiqEa8YiRPzfm-LA_4_0"/>
      <w:bookmarkStart w:id="521" w:name="Tc_5-8Raaf4D0y3os69_cMDpg_3_0"/>
      <w:bookmarkStart w:id="522" w:name="Tc_oFGwzDVSUUiIL5VfjnUEGw_2_5"/>
      <w:bookmarkStart w:id="523" w:name="Tc_LXacT02BWU-rv3C4QCKygw_2_2"/>
      <w:bookmarkStart w:id="524" w:name="Tc_EEEz4XsFq0mNKrNdh3eHCw_1_2"/>
      <w:bookmarkStart w:id="525" w:name="_29bb6ce8_427b_4cf8_a1ce_0377a0f733f0"/>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tbl>
      <w:tblPr>
        <w:tblW w:w="10205" w:type="dxa"/>
        <w:jc w:val="left"/>
        <w:tblInd w:w="0" w:type="dxa"/>
        <w:tblLayout w:type="fixed"/>
        <w:tblCellMar>
          <w:top w:w="0" w:type="dxa"/>
          <w:left w:w="0" w:type="dxa"/>
          <w:bottom w:w="0" w:type="dxa"/>
          <w:right w:w="0" w:type="dxa"/>
        </w:tblCellMar>
      </w:tblPr>
      <w:tblGrid>
        <w:gridCol w:w="6941"/>
        <w:gridCol w:w="346"/>
        <w:gridCol w:w="258"/>
        <w:gridCol w:w="942"/>
        <w:gridCol w:w="456"/>
        <w:gridCol w:w="258"/>
        <w:gridCol w:w="1004"/>
      </w:tblGrid>
      <w:tr>
        <w:trPr/>
        <w:tc>
          <w:tcPr>
            <w:tcW w:w="6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407535" cy="175260"/>
                      <wp:effectExtent l="0" t="0" r="0" b="0"/>
                      <wp:wrapNone/>
                      <wp:docPr id="81" name="Frame81"/>
                      <a:graphic xmlns:a="http://schemas.openxmlformats.org/drawingml/2006/main">
                        <a:graphicData uri="http://schemas.microsoft.com/office/word/2010/wordprocessingShape">
                          <wps:wsp>
                            <wps:cNvSpPr txBox="1"/>
                            <wps:spPr>
                              <a:xfrm>
                                <a:off x="0" y="0"/>
                                <a:ext cx="440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3830" cy="175260"/>
                      <wp:effectExtent l="0" t="0" r="0" b="0"/>
                      <wp:wrapNone/>
                      <wp:docPr id="83" name="Frame8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8170" cy="175260"/>
                      <wp:effectExtent l="0" t="0" r="0" b="0"/>
                      <wp:wrapNone/>
                      <wp:docPr id="84" name="Frame84"/>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89560" cy="175260"/>
                      <wp:effectExtent l="0" t="0" r="0" b="0"/>
                      <wp:wrapNone/>
                      <wp:docPr id="85" name="Frame85"/>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3830" cy="175260"/>
                      <wp:effectExtent l="0" t="0" r="0" b="0"/>
                      <wp:wrapNone/>
                      <wp:docPr id="86" name="Frame8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37540" cy="175260"/>
                      <wp:effectExtent l="0" t="0" r="0" b="0"/>
                      <wp:wrapNone/>
                      <wp:docPr id="87" name="Frame87"/>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  ​</w:t>
            </w:r>
          </w:p>
        </w:tc>
        <w:tc>
          <w:tcPr>
            <w:tcW w:w="45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  ​</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(14,458)</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(8,046)</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pPr>
            <w:r>
              <w:rPr/>
              <w:t>  ​</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  ​</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(recovery of) loan losses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2,228</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977</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discounts/premiums and deferred interest on loans, net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premium, discount and deferred financing costs and paid-in-kind interest on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1,969</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1,953</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(gains) losses on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2,164</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(3,245)</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early extinguishment of debt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pPr>
            <w:r>
              <w:rPr/>
              <w:t>—</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Land development revenue (in excess of) 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(1,673)</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operating activities, net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pPr>
            <w:r>
              <w:rPr/>
              <w:t>​</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accrued interest and operating lease income receivable</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45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(8,398)</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(6,326)</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pPr>
            <w:r>
              <w:rPr/>
              <w:t>  ​</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  ​</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Originations and fundings of loans receivable and other lending investments,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(13,820)</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on real estate assets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reimbursements (expenditures) on land and development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1,729</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(16,189)</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and principal collections on loans receivable and other lending investments, net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2,800</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3,045</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proceeds from sales of land and development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13,489</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5,542</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disposed upon deconsolidation of venture (refer to Note 5)</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(3,051)</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investing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w:t>
            </w:r>
          </w:p>
        </w:tc>
        <w:tc>
          <w:tcPr>
            <w:tcW w:w="45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(8,276)</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pPr>
            <w:r>
              <w:rPr/>
              <w:t>  ​</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  ​</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 from debt obligations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4,818</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17,340</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deferred financing costs</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debt prepayment or extinguishment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pPr>
            <w:r>
              <w:rPr/>
              <w:t>—</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(1,998)</w:t>
            </w:r>
          </w:p>
        </w:tc>
        <w:tc>
          <w:tcPr>
            <w:tcW w:w="45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financing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2,659</w:t>
            </w:r>
          </w:p>
        </w:tc>
        <w:tc>
          <w:tcPr>
            <w:tcW w:w="45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12,089</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cash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(5,113)</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w:t>
            </w:r>
          </w:p>
        </w:tc>
      </w:tr>
      <w:tr>
        <w:trPr/>
        <w:tc>
          <w:tcPr>
            <w:tcW w:w="69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period</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67,172</w:t>
            </w:r>
          </w:p>
        </w:tc>
        <w:tc>
          <w:tcPr>
            <w:tcW w:w="45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45,546</w:t>
            </w:r>
          </w:p>
        </w:tc>
      </w:tr>
      <w:tr>
        <w:trPr/>
        <w:tc>
          <w:tcPr>
            <w:tcW w:w="69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62,059</w:t>
            </w:r>
          </w:p>
        </w:tc>
        <w:tc>
          <w:tcPr>
            <w:tcW w:w="45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43,033</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26" w:name="Tc_-LecdlKo40etkPpCM7-M-w_4_5"/>
      <w:bookmarkStart w:id="527" w:name="Tc_GZMou-KwPE2sMOJpVQ1v4Q_4_2"/>
      <w:bookmarkStart w:id="528" w:name="Tc_8Zz9mfTkRU285GjPJ8paAw_4_0"/>
      <w:bookmarkStart w:id="529" w:name="Tc_Vb9AKJfeT0yx5TGe6WvLpQ_3_0"/>
      <w:bookmarkStart w:id="530" w:name="Tc_7XRmOyz970-rbcshc1jP2w_2_5"/>
      <w:bookmarkStart w:id="531" w:name="Tc_YUhBQF1b002NTwBkhvJlgw_2_2"/>
      <w:bookmarkStart w:id="532" w:name="Tc_kUVPoVi5H0KknqnqyoaQbQ_2_0"/>
      <w:bookmarkStart w:id="533" w:name="Tc_ZMmsWoquaUeLtthYB9Z9PQ_1_0"/>
      <w:bookmarkStart w:id="534" w:name="_69c57bc1_c298_4db2_a2b8_d6e76f062f68"/>
      <w:bookmarkStart w:id="535" w:name="Tc_-LecdlKo40etkPpCM7-M-w_4_5"/>
      <w:bookmarkStart w:id="536" w:name="Tc_GZMou-KwPE2sMOJpVQ1v4Q_4_2"/>
      <w:bookmarkStart w:id="537" w:name="Tc_8Zz9mfTkRU285GjPJ8paAw_4_0"/>
      <w:bookmarkStart w:id="538" w:name="Tc_Vb9AKJfeT0yx5TGe6WvLpQ_3_0"/>
      <w:bookmarkStart w:id="539" w:name="Tc_7XRmOyz970-rbcshc1jP2w_2_5"/>
      <w:bookmarkStart w:id="540" w:name="Tc_YUhBQF1b002NTwBkhvJlgw_2_2"/>
      <w:bookmarkStart w:id="541" w:name="Tc_kUVPoVi5H0KknqnqyoaQbQ_2_0"/>
      <w:bookmarkStart w:id="542" w:name="Tc_ZMmsWoquaUeLtthYB9Z9PQ_1_0"/>
      <w:bookmarkStart w:id="543" w:name="_69c57bc1_c298_4db2_a2b8_d6e76f062f68"/>
      <w:bookmarkEnd w:id="535"/>
      <w:bookmarkEnd w:id="536"/>
      <w:bookmarkEnd w:id="537"/>
      <w:bookmarkEnd w:id="538"/>
      <w:bookmarkEnd w:id="539"/>
      <w:bookmarkEnd w:id="540"/>
      <w:bookmarkEnd w:id="541"/>
      <w:bookmarkEnd w:id="542"/>
      <w:bookmarkEnd w:id="543"/>
    </w:p>
    <w:tbl>
      <w:tblPr>
        <w:tblW w:w="8698" w:type="dxa"/>
        <w:jc w:val="left"/>
        <w:tblInd w:w="0" w:type="dxa"/>
        <w:tblLayout w:type="fixed"/>
        <w:tblCellMar>
          <w:top w:w="0" w:type="dxa"/>
          <w:left w:w="0" w:type="dxa"/>
          <w:bottom w:w="0" w:type="dxa"/>
          <w:right w:w="0" w:type="dxa"/>
        </w:tblCellMar>
      </w:tblPr>
      <w:tblGrid>
        <w:gridCol w:w="6781"/>
        <w:gridCol w:w="109"/>
        <w:gridCol w:w="196"/>
        <w:gridCol w:w="601"/>
        <w:gridCol w:w="109"/>
        <w:gridCol w:w="196"/>
        <w:gridCol w:w="706"/>
      </w:tblGrid>
      <w:tr>
        <w:trPr/>
        <w:tc>
          <w:tcPr>
            <w:tcW w:w="6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305935" cy="175260"/>
                      <wp:effectExtent l="0" t="0" r="0" b="0"/>
                      <wp:wrapNone/>
                      <wp:docPr id="88" name="Frame88"/>
                      <a:graphic xmlns:a="http://schemas.openxmlformats.org/drawingml/2006/main">
                        <a:graphicData uri="http://schemas.microsoft.com/office/word/2010/wordprocessingShape">
                          <wps:wsp>
                            <wps:cNvSpPr txBox="1"/>
                            <wps:spPr>
                              <a:xfrm>
                                <a:off x="0" y="0"/>
                                <a:ext cx="430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4460" cy="175260"/>
                      <wp:effectExtent l="0" t="0" r="0" b="0"/>
                      <wp:wrapNone/>
                      <wp:docPr id="90"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81635" cy="175260"/>
                      <wp:effectExtent l="0" t="0" r="0" b="0"/>
                      <wp:wrapNone/>
                      <wp:docPr id="91" name="Frame9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460" cy="175260"/>
                      <wp:effectExtent l="0" t="0" r="0" b="0"/>
                      <wp:wrapNone/>
                      <wp:docPr id="93"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48310" cy="175260"/>
                      <wp:effectExtent l="0" t="0" r="0" b="0"/>
                      <wp:wrapNone/>
                      <wp:docPr id="94" name="Frame9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and restricted cash presented on the consolidated statements of cash flows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67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46,378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30,308</w:t>
            </w:r>
          </w:p>
        </w:tc>
      </w:tr>
      <w:tr>
        <w:trPr/>
        <w:tc>
          <w:tcPr>
            <w:tcW w:w="67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included in deferred expenses and other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12,725</w:t>
            </w:r>
          </w:p>
        </w:tc>
      </w:tr>
      <w:tr>
        <w:trPr/>
        <w:tc>
          <w:tcPr>
            <w:tcW w:w="67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 and restricted cash</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43,033</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pBdr/>
        <w:bidi w:val="0"/>
        <w:spacing w:before="0" w:after="0"/>
        <w:ind w:left="0" w:right="0" w:hanging="0"/>
        <w:jc w:val="left"/>
        <w:rPr>
          <w:rFonts w:ascii="Times New Roman;Times;serif" w:hAnsi="Times New Roman;Times;serif"/>
          <w:b/>
          <w:sz w:val="20"/>
        </w:rPr>
      </w:pPr>
      <w:bookmarkStart w:id="544" w:name="NotestoConsolidatedFinancialStatemen"/>
      <w:bookmarkEnd w:id="544"/>
      <w:r>
        <w:rPr>
          <w:rFonts w:ascii="Times New Roman;Times;serif" w:hAnsi="Times New Roman;Times;serif"/>
          <w:b/>
          <w:sz w:val="20"/>
        </w:rPr>
        <w:t>Note 1—Business and Organization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Star Holdings is a Maryland statutory trust (the "Company," "Star Holdings," "we" or "us") that was spun-off from iStar Inc. (“iStar”) on March 31, 2023 (the Spin-Off”). The Company was formed to hold and seek to monetize iStar’s legacy non-ground lease assets. The Company operates its business as one segment that focuses on realizing value for shareholders primarily by generating cash flows through active asset management and sales of its existing loans, operating properties and land and development properties. The Company expects to make certain investments to complete its development assets, but it does not currently expect to make material new investments or acquire material new assets. The Company’s short-term and long-term liquidity requirements include capital expenditures on its development projects, debt service, management fees and expense reimbursements payable to its Manager (refer to Note 7) and operating expenses, among others. The Company expects to meet its short-term liquidity requirements through any cash flows from operations, proceeds from asset sales, borrowings on available debt facilities (refer to Note 9) and unrestricted cash. The Company expects to meet its long-term liquidity requirements through any cash flows from operations and proceeds from asset sales.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w:t>
      </w:r>
      <w:r>
        <w:rPr>
          <w:rFonts w:ascii="Times New Roman;Times;serif" w:hAnsi="Times New Roman;Times;serif"/>
          <w:sz w:val="20"/>
          <w:shd w:fill="FFFFFF" w:val="clear"/>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combined and consolidated financial statements and related notes included in the Company’s Annual Report on Form 10-K (the “2025 Annual Report”) for the year ended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w:t>
      </w:r>
      <w:r>
        <w:rPr>
          <w:rFonts w:ascii="Times New Roman;Times;serif" w:hAnsi="Times New Roman;Times;serif"/>
          <w:sz w:val="20"/>
        </w:rPr>
        <w:t>Certain prior year amounts have been reclassified in the Company's consolidated financial statements and the related notes to conform to the current period presentation.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firstLine="360"/>
        <w:jc w:val="both"/>
        <w:rPr>
          <w:rFonts w:ascii="Times New Roman;Times;serif" w:hAnsi="Times New Roman;Times;serif"/>
          <w:sz w:val="20"/>
        </w:rPr>
      </w:pPr>
      <w:bookmarkStart w:id="545" w:name="Tc_XnJIV8G1YUGYmrpURddCeQ_13_5"/>
      <w:bookmarkStart w:id="546" w:name="Tc_OGNKo5X8-UuTZ8EQXpBPMQ_13_2"/>
      <w:bookmarkStart w:id="547" w:name="Tc_YiAGtx_YJkGweH9mLHTxEA_13_0"/>
      <w:bookmarkStart w:id="548" w:name="Tc__bqlq-YtRE6yntMPu8BUNQ_12_0"/>
      <w:bookmarkStart w:id="549" w:name="Tc_ZQVtNCQiSEWj-yuP5m19bA_11_5"/>
      <w:bookmarkStart w:id="550" w:name="Tc_xSnAXXXVOE6cCELzH6uSfA_11_2"/>
      <w:bookmarkStart w:id="551" w:name="Tc_CWCy0uMy106YWwBLHkTXwg_11_0"/>
      <w:bookmarkStart w:id="552" w:name="Tc_WtGYcWQ1vUSBCt_q7YqrEQ_10_0"/>
      <w:bookmarkStart w:id="553" w:name="Tc_dv3Bxy8h0kKiCzvMLVESiw_9_0"/>
      <w:bookmarkStart w:id="554" w:name="Tc_O2a-RMghOUWgRnpxln2Vqw_8_0"/>
      <w:bookmarkStart w:id="555" w:name="Tc_cEq5VJt_-EOueQeUJ2ilvw_7_0"/>
      <w:bookmarkStart w:id="556" w:name="Tc_1_3DnbQAgUSI0D6ZMn70Zg_6_0"/>
      <w:bookmarkStart w:id="557" w:name="Tc_AcDoakfDwkGdFsGHa2bBfw_5_5"/>
      <w:bookmarkStart w:id="558" w:name="Tc_HVeH6VAcmUi0uxYpcjhY3g_5_2"/>
      <w:bookmarkStart w:id="559" w:name="Tc_CUS4s1D-ak-CPeLqjuFV0Q_5_0"/>
      <w:bookmarkStart w:id="560" w:name="Tc_v7z_3aSU7Uyx3SnKhmnAqg_4_0"/>
      <w:bookmarkStart w:id="561" w:name="Tc_gSni_7YEvUal-HzBvAL-EQ_3_0"/>
      <w:bookmarkStart w:id="562" w:name="Tc_G4r-zWhkFkmJVwMilkwPIQ_2_5"/>
      <w:bookmarkStart w:id="563" w:name="Tc_HsnFQMn2rECwBn0TrvpZlQ_2_2"/>
      <w:bookmarkStart w:id="564" w:name="Tc_YY5m0PnUa0uRsNH8FHHMVw_1_2"/>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Fonts w:ascii="Times New Roman;Times;serif" w:hAnsi="Times New Roman;Times;serif"/>
          <w:b/>
          <w:sz w:val="20"/>
        </w:rPr>
        <w:t>Principles of Consolidation</w:t>
      </w:r>
      <w:r>
        <w:rPr>
          <w:rFonts w:ascii="Times New Roman;Times;serif" w:hAnsi="Times New Roman;Times;serif"/>
          <w:sz w:val="20"/>
        </w:rPr>
        <w:t>—</w:t>
      </w:r>
      <w:r>
        <w:rPr>
          <w:rFonts w:ascii="Times New Roman;Times;serif" w:hAnsi="Times New Roman;Times;serif"/>
          <w:color w:val="212529"/>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i/>
          <w:sz w:val="20"/>
        </w:rPr>
        <w:t>Consolidated VIEs</w:t>
      </w:r>
      <w:r>
        <w:rPr>
          <w:rFonts w:ascii="Times New Roman;Times;serif" w:hAnsi="Times New Roman;Times;serif"/>
          <w:sz w:val="20"/>
        </w:rPr>
        <w:t>—The Company consolidates VIEs for which it is considered the primary beneficiary. The liabilities of these VIEs are non-recourse to the Company and can only be satisfied from each VIE’s respective assets. The Company did not have any unfunded commitments related to consolidated VIEs as of March 31, 2026 and December 31, 2025. The following table presents the assets and liabilities of the Company’s consolidated VIEs as of March 31, 2026 and December 31, 2025 ($ in thousands):</w:t>
      </w:r>
    </w:p>
    <w:p>
      <w:pPr>
        <w:pStyle w:val="TextBody"/>
        <w:bidi w:val="0"/>
        <w:spacing w:before="0" w:after="0"/>
        <w:ind w:left="0" w:right="0" w:hanging="0"/>
        <w:jc w:val="left"/>
        <w:rPr/>
      </w:pPr>
      <w:r>
        <w:rPr/>
        <w:t>​</w:t>
      </w:r>
    </w:p>
    <w:tbl>
      <w:tblPr>
        <w:tblW w:w="7370" w:type="dxa"/>
        <w:jc w:val="left"/>
        <w:tblInd w:w="0" w:type="dxa"/>
        <w:tblLayout w:type="fixed"/>
        <w:tblCellMar>
          <w:top w:w="0" w:type="dxa"/>
          <w:left w:w="0" w:type="dxa"/>
          <w:bottom w:w="0" w:type="dxa"/>
          <w:right w:w="0" w:type="dxa"/>
        </w:tblCellMar>
      </w:tblPr>
      <w:tblGrid>
        <w:gridCol w:w="3871"/>
        <w:gridCol w:w="346"/>
        <w:gridCol w:w="268"/>
        <w:gridCol w:w="993"/>
        <w:gridCol w:w="346"/>
        <w:gridCol w:w="314"/>
        <w:gridCol w:w="123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458085" cy="175260"/>
                      <wp:effectExtent l="0" t="0" r="0" b="0"/>
                      <wp:wrapNone/>
                      <wp:docPr id="95" name="Frame9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0180" cy="175260"/>
                      <wp:effectExtent l="0" t="0" r="0" b="0"/>
                      <wp:wrapNone/>
                      <wp:docPr id="97" name="Frame9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30555" cy="175260"/>
                      <wp:effectExtent l="0" t="0" r="0" b="0"/>
                      <wp:wrapNone/>
                      <wp:docPr id="98" name="Frame98"/>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9390" cy="175260"/>
                      <wp:effectExtent l="0" t="0" r="0" b="0"/>
                      <wp:wrapNone/>
                      <wp:docPr id="100" name="Frame100"/>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82320" cy="175260"/>
                      <wp:effectExtent l="0" t="0" r="0" b="0"/>
                      <wp:wrapNone/>
                      <wp:docPr id="101" name="Frame101"/>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7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4"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right"/>
              <w:rPr/>
            </w:pPr>
            <w:r>
              <w:rPr/>
              <w:t>  ​</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14" w:type="dxa"/>
            <w:tcBorders/>
            <w:vAlign w:val="center"/>
          </w:tcPr>
          <w:p>
            <w:pPr>
              <w:pStyle w:val="TableContents"/>
              <w:bidi w:val="0"/>
              <w:spacing w:before="0" w:after="1"/>
              <w:ind w:left="0" w:right="0" w:hanging="0"/>
              <w:jc w:val="left"/>
              <w:rPr/>
            </w:pPr>
            <w:r>
              <w:rPr/>
              <w:t>​</w:t>
            </w:r>
          </w:p>
        </w:tc>
        <w:tc>
          <w:tcPr>
            <w:tcW w:w="1232" w:type="dxa"/>
            <w:tcBorders/>
            <w:vAlign w:val="center"/>
          </w:tcPr>
          <w:p>
            <w:pPr>
              <w:pStyle w:val="TableContents"/>
              <w:bidi w:val="0"/>
              <w:spacing w:before="0" w:after="1"/>
              <w:ind w:left="0" w:right="0" w:hanging="0"/>
              <w:jc w:val="right"/>
              <w:rPr/>
            </w:pPr>
            <w:r>
              <w:rPr/>
              <w:t>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at cost (refer to Note 4 and Note 5)</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96,182</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176,262</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(27,691)</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68,491</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147,604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development, net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56,905</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71,132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5,907</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143,031</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235,123</w:t>
            </w:r>
          </w:p>
        </w:tc>
      </w:tr>
      <w:tr>
        <w:trPr/>
        <w:tc>
          <w:tcPr>
            <w:tcW w:w="3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pPr>
            <w:r>
              <w:rPr/>
              <w:t>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91,077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0"/>
        <w:ind w:left="0" w:right="0" w:firstLine="400"/>
        <w:jc w:val="both"/>
        <w:rPr>
          <w:rFonts w:ascii="Times New Roman;Times;serif" w:hAnsi="Times New Roman;Times;serif"/>
          <w:sz w:val="20"/>
          <w:shd w:fill="FFFFFF" w:val="clear"/>
        </w:rPr>
      </w:pPr>
      <w:r>
        <w:rPr>
          <w:rFonts w:ascii="Times New Roman;Times;serif" w:hAnsi="Times New Roman;Times;serif"/>
          <w:sz w:val="20"/>
          <w:shd w:fill="FFFFFF" w:val="clear"/>
        </w:rPr>
        <w:t>The Company’s significant accounting policies have not changed materially from those described in the 2025 Annual Report. Please refer to the 2025 Annual Report for the Company’s significant accounting policies.</w:t>
      </w:r>
    </w:p>
    <w:p>
      <w:pPr>
        <w:pStyle w:val="TextBody"/>
        <w:bidi w:val="0"/>
        <w:spacing w:before="0" w:after="0"/>
        <w:ind w:left="0" w:right="0" w:firstLine="400"/>
        <w:jc w:val="both"/>
        <w:rPr>
          <w:shd w:fill="FFFFFF" w:val="clear"/>
        </w:rPr>
      </w:pPr>
      <w:r>
        <w:rPr>
          <w:shd w:fill="FFFFFF"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color w:val="212529"/>
          <w:sz w:val="20"/>
        </w:rPr>
        <w:t>New accounting pronouncements</w:t>
      </w:r>
      <w:r>
        <w:rPr>
          <w:rFonts w:ascii="Times New Roman;Times;serif" w:hAnsi="Times New Roman;Times;serif"/>
          <w:color w:val="212529"/>
          <w:sz w:val="20"/>
        </w:rPr>
        <w:t>—</w:t>
      </w:r>
      <w:r>
        <w:rPr>
          <w:rFonts w:ascii="Times New Roman;Times;serif" w:hAnsi="Times New Roman;Times;serif"/>
          <w:sz w:val="20"/>
        </w:rPr>
        <w:t xml:space="preserve">In November 2024, the Financial Accounting Standards Board issued Accounting Standards Update 2024-03, “Disaggregation of Income Statement Expenses” (“ASU 2024-03”). ASU 2024-03 requires disclosure of additional information about specific cost and expense categories in the notes to the financial statements. ASU 2024-03 is effective for annual periods beginning after December 15, 2026 and interim reporting periods beginning after December 15, 2027. </w:t>
      </w:r>
      <w:r>
        <w:rPr>
          <w:rFonts w:ascii="Times New Roman;Times;serif" w:hAnsi="Times New Roman;Times;serif"/>
          <w:color w:val="212529"/>
          <w:spacing w:val="4"/>
          <w:sz w:val="20"/>
        </w:rPr>
        <w:t>The Company is currently evaluating ASU 2024-03 but does not expect this standard to have a material impact on its consolidated financial statements.</w:t>
      </w:r>
    </w:p>
    <w:p>
      <w:pPr>
        <w:pStyle w:val="TextBody"/>
        <w:bidi w:val="0"/>
        <w:spacing w:before="0" w:after="240"/>
        <w:ind w:left="0" w:right="0" w:hanging="0"/>
        <w:jc w:val="left"/>
        <w:rPr>
          <w:rFonts w:ascii="Times New Roman;Times;serif" w:hAnsi="Times New Roman;Times;serif"/>
          <w:b/>
          <w:sz w:val="20"/>
        </w:rPr>
      </w:pPr>
      <w:bookmarkStart w:id="565" w:name="Tc_SD1_9sjEG0S4fGeJuLjwbA_6_5"/>
      <w:bookmarkStart w:id="566" w:name="Tc_Gyt7XLu9X0-JEEnM-1R1TA_6_2"/>
      <w:bookmarkStart w:id="567" w:name="Tc_mmoWdSBm30u0JSM2c3AMmw_6_0"/>
      <w:bookmarkStart w:id="568" w:name="Tc_lXiiXSFKdEy4byzzwbLs3A_5_0"/>
      <w:bookmarkStart w:id="569" w:name="Tc_SwkJOB2ChUuFVW4LIi9_cQ_4_0"/>
      <w:bookmarkStart w:id="570" w:name="Tc_jY3q1nsJzEKHZm_H3rAWCA_3_5"/>
      <w:bookmarkStart w:id="571" w:name="Tc_eSuUlR6HUkibvxPcpNkciQ_3_2"/>
      <w:bookmarkStart w:id="572" w:name="Tc_z2TzFRPRFUSJm5ViMG5uWg_3_0"/>
      <w:bookmarkStart w:id="573" w:name="Tc_Dh89Aa2C8ES94ALFqLEbOw_2_5"/>
      <w:bookmarkStart w:id="574" w:name="Tc_NFndFRxE7EyxyzTJNndHbQ_2_2"/>
      <w:bookmarkStart w:id="575" w:name="Tc_t0UEvjrEdUijN2xRsjyKUw_1_2"/>
      <w:bookmarkStart w:id="576" w:name="_04219976_4122_4fec_80c9_caf78ff52427"/>
      <w:bookmarkEnd w:id="565"/>
      <w:bookmarkEnd w:id="566"/>
      <w:bookmarkEnd w:id="567"/>
      <w:bookmarkEnd w:id="568"/>
      <w:bookmarkEnd w:id="569"/>
      <w:bookmarkEnd w:id="570"/>
      <w:bookmarkEnd w:id="571"/>
      <w:bookmarkEnd w:id="572"/>
      <w:bookmarkEnd w:id="573"/>
      <w:bookmarkEnd w:id="574"/>
      <w:bookmarkEnd w:id="575"/>
      <w:bookmarkEnd w:id="576"/>
      <w:r>
        <w:rPr>
          <w:rFonts w:ascii="Times New Roman;Times;serif" w:hAnsi="Times New Roman;Times;serif"/>
          <w:b/>
          <w:sz w:val="20"/>
        </w:rPr>
        <w:t>Note 4—Real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real estate assets were comprised of the following ($ in thousands): </w:t>
      </w:r>
    </w:p>
    <w:tbl>
      <w:tblPr>
        <w:tblW w:w="6754" w:type="dxa"/>
        <w:jc w:val="left"/>
        <w:tblInd w:w="0" w:type="dxa"/>
        <w:tblLayout w:type="fixed"/>
        <w:tblCellMar>
          <w:top w:w="0" w:type="dxa"/>
          <w:left w:w="0" w:type="dxa"/>
          <w:bottom w:w="0" w:type="dxa"/>
          <w:right w:w="0" w:type="dxa"/>
        </w:tblCellMar>
      </w:tblPr>
      <w:tblGrid>
        <w:gridCol w:w="3256"/>
        <w:gridCol w:w="346"/>
        <w:gridCol w:w="280"/>
        <w:gridCol w:w="981"/>
        <w:gridCol w:w="346"/>
        <w:gridCol w:w="294"/>
        <w:gridCol w:w="125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67560" cy="175260"/>
                      <wp:effectExtent l="0" t="0" r="0" b="0"/>
                      <wp:wrapNone/>
                      <wp:docPr id="102" name="Frame102"/>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7800" cy="175260"/>
                      <wp:effectExtent l="0" t="0" r="0" b="0"/>
                      <wp:wrapNone/>
                      <wp:docPr id="104" name="Frame10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22935" cy="175260"/>
                      <wp:effectExtent l="0" t="0" r="0" b="0"/>
                      <wp:wrapNone/>
                      <wp:docPr id="105" name="Frame105"/>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6690" cy="175260"/>
                      <wp:effectExtent l="0" t="0" r="0" b="0"/>
                      <wp:wrapNone/>
                      <wp:docPr id="107" name="Frame10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94385" cy="175260"/>
                      <wp:effectExtent l="0" t="0" r="0" b="0"/>
                      <wp:wrapNone/>
                      <wp:docPr id="108" name="Frame108"/>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5,570</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5,570</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93,411</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173,492</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(28,784)</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(29,713)</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70,197</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149,349</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 xml:space="preserve">In March 2026, a real estate asset was deconsolidated </w:t>
            </w:r>
            <w:r>
              <w:rPr>
                <w:rFonts w:ascii="Times New Roman;Times;serif" w:hAnsi="Times New Roman;Times;serif"/>
                <w:b w:val="false"/>
                <w:i w:val="false"/>
                <w:caps w:val="false"/>
                <w:smallCaps w:val="false"/>
                <w:sz w:val="16"/>
              </w:rPr>
              <w:t>when a mezzanine loan provided by the Company was repaid in full and the Company’s senior loan guaranties were released by the lender (refer to Note 5).</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Tenant Reimbursements—</w:t>
      </w:r>
      <w:r>
        <w:rPr>
          <w:rFonts w:ascii="Times New Roman;Times;serif" w:hAnsi="Times New Roman;Times;serif"/>
          <w:sz w:val="20"/>
        </w:rPr>
        <w:t xml:space="preserve">The Company receives reimbursements from tenants for certain facility operating expenses including common area costs, insurance, utilities and real estate taxes. Tenant reimbursements were $0.5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both"/>
        <w:rPr>
          <w:rFonts w:ascii="Times New Roman;Times;serif" w:hAnsi="Times New Roman;Times;serif"/>
          <w:sz w:val="20"/>
        </w:rPr>
      </w:pPr>
      <w:bookmarkStart w:id="577" w:name="Tc_GFHlcV-eo0uyBk0_HuMm6Q_7_3"/>
      <w:bookmarkStart w:id="578" w:name="Tc_WHU_lOKkPUef33BFoVeAdA_7_0"/>
      <w:bookmarkStart w:id="579" w:name="Tc_RXEtaoo8HkKYL4JPfnM93w_6_3"/>
      <w:bookmarkStart w:id="580" w:name="Tc_R2D7Tl_W-Um01WXPx5sfTQ_6_0"/>
      <w:bookmarkStart w:id="581" w:name="Tc_MxN-8XpIYkGmN0gjZvYEtQ_5_3"/>
      <w:bookmarkStart w:id="582" w:name="Tc_txrrYw86dkGm9NLIKqsAZQ_5_0"/>
      <w:bookmarkStart w:id="583" w:name="Tc_8mM3ZYF340e0c8ogiC4XRQ_4_0"/>
      <w:bookmarkStart w:id="584" w:name="Tc_9_zSoI-g_UKjxKK9qE_r3A_3_0"/>
      <w:bookmarkStart w:id="585" w:name="Tc_f86AGuCk1Uit8S6kWj0khw_2_2"/>
      <w:bookmarkStart w:id="586" w:name="Tc_HRPRrMlY4kGkwWzl8LOhrg_2_0"/>
      <w:bookmarkStart w:id="587" w:name="Tc_m5lmFtG-aEKtzyPTOzSX-g_1_2"/>
      <w:bookmarkStart w:id="588" w:name="Tc_oy7y-ibUXEGdUGz-fweoSg_1_0"/>
      <w:bookmarkStart w:id="589" w:name="_e3cc2660_895d_41e2_84c6_c6a80dece2d3"/>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Times New Roman;Times;serif" w:hAnsi="Times New Roman;Times;serif"/>
          <w:sz w:val="20"/>
          <w:shd w:fill="FFFFFF" w:val="clear"/>
        </w:rPr>
        <w:t xml:space="preserve">and $0.5 million for the three months ended March 31, 2026 and 2025, respectively. </w:t>
      </w:r>
      <w:r>
        <w:rPr>
          <w:rFonts w:ascii="Times New Roman;Times;serif" w:hAnsi="Times New Roman;Times;serif"/>
          <w:sz w:val="20"/>
        </w:rPr>
        <w:t>These amounts are included in “Operating lease income” in the Company’s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Allowance for Doubtful Accounts—</w:t>
      </w:r>
      <w:r>
        <w:rPr>
          <w:rFonts w:ascii="Times New Roman;Times;serif" w:hAnsi="Times New Roman;Times;serif"/>
          <w:sz w:val="20"/>
        </w:rPr>
        <w:t>As of March 31, 2026 and December 31, 2025, the allowance for doubtful accounts related to real estate tenant receivables was $0.1 million and $0.2 million, respectively. These amounts are included in “Accrued interest and operating lease income receivable, net” on the Company’s consolidated balance sheets.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Future Minimum Operating Lease Payments</w:t>
      </w:r>
      <w:r>
        <w:rPr>
          <w:rFonts w:ascii="Times New Roman;Times;serif" w:hAnsi="Times New Roman;Times;serif"/>
          <w:sz w:val="20"/>
        </w:rPr>
        <w:t xml:space="preserve">—Future minimum operating lease payments to be collected under non-cancelable operating leases, excluding tenant reimbursements of expenses, in effect as of March 31, 2026, are as follows by year ($ in thousands): </w:t>
      </w:r>
    </w:p>
    <w:tbl>
      <w:tblPr>
        <w:tblW w:w="3517" w:type="dxa"/>
        <w:jc w:val="left"/>
        <w:tblInd w:w="0" w:type="dxa"/>
        <w:tblLayout w:type="fixed"/>
        <w:tblCellMar>
          <w:top w:w="0" w:type="dxa"/>
          <w:left w:w="0" w:type="dxa"/>
          <w:bottom w:w="0" w:type="dxa"/>
          <w:right w:w="0" w:type="dxa"/>
        </w:tblCellMar>
      </w:tblPr>
      <w:tblGrid>
        <w:gridCol w:w="2581"/>
        <w:gridCol w:w="109"/>
        <w:gridCol w:w="211"/>
        <w:gridCol w:w="61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38935" cy="175260"/>
                      <wp:effectExtent l="0" t="0" r="0" b="0"/>
                      <wp:wrapNone/>
                      <wp:docPr id="109" name="Frame10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91160" cy="175260"/>
                      <wp:effectExtent l="0" t="0" r="0" b="0"/>
                      <wp:wrapNone/>
                      <wp:docPr id="112" name="Frame1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90" w:name="Tc_sFlp-8l6AkmiDUmtFBqAjQ_6_5"/>
      <w:bookmarkStart w:id="591" w:name="Tc_atQiZ6vyREm48yFEOyzhuA_6_2"/>
      <w:bookmarkStart w:id="592" w:name="Tc_se9LPNOCU02YlMntHDGGCg_6_0"/>
      <w:bookmarkStart w:id="593" w:name="Tc_j3Wd0xwNCEW6O6T9vuWKFw_5_0"/>
      <w:bookmarkStart w:id="594" w:name="Tc_I7Q5BM5BUkmzFdUzDyJYSw_4_5"/>
      <w:bookmarkStart w:id="595" w:name="Tc_COHIg2CtOEimxwlSPlBQwg_4_2"/>
      <w:bookmarkStart w:id="596" w:name="Tc_XQaTU0u7M0OEbSOfOkBGUA_4_0"/>
      <w:bookmarkStart w:id="597" w:name="Tc_xuQ0wlmpZUKku_EoUFUEJQ_3_5"/>
      <w:bookmarkStart w:id="598" w:name="Tc_BMTIFIV-l0SX-frOov_izQ_3_2"/>
      <w:bookmarkStart w:id="599" w:name="Tc_Bfwo0yBNOUiu5IzHvpaYyw_2_5"/>
      <w:bookmarkStart w:id="600" w:name="Tc_g8p3BSl3-0S12lPN6FRj5A_2_2"/>
      <w:bookmarkStart w:id="601" w:name="Tc_-ptNKrWd40-jpor1pk5P5Q_1_2"/>
      <w:bookmarkStart w:id="602" w:name="_4124676f_c590_44b3_8c7b_8d0a69d9327a"/>
      <w:bookmarkEnd w:id="590"/>
      <w:bookmarkEnd w:id="591"/>
      <w:bookmarkEnd w:id="592"/>
      <w:bookmarkEnd w:id="593"/>
      <w:bookmarkEnd w:id="594"/>
      <w:bookmarkEnd w:id="595"/>
      <w:bookmarkEnd w:id="596"/>
      <w:bookmarkEnd w:id="597"/>
      <w:bookmarkEnd w:id="598"/>
      <w:bookmarkEnd w:id="599"/>
      <w:bookmarkEnd w:id="600"/>
      <w:bookmarkEnd w:id="601"/>
      <w:bookmarkEnd w:id="602"/>
      <w:r>
        <w:rPr>
          <w:rFonts w:ascii="Times New Roman;Times;serif" w:hAnsi="Times New Roman;Times;serif"/>
          <w:b/>
          <w:sz w:val="20"/>
        </w:rPr>
        <w:t>Note 5—Land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land and development assets were comprised of the following ($ in thousands):</w:t>
      </w:r>
    </w:p>
    <w:tbl>
      <w:tblPr>
        <w:tblW w:w="5840" w:type="dxa"/>
        <w:jc w:val="left"/>
        <w:tblInd w:w="0" w:type="dxa"/>
        <w:tblLayout w:type="fixed"/>
        <w:tblCellMar>
          <w:top w:w="0" w:type="dxa"/>
          <w:left w:w="0" w:type="dxa"/>
          <w:bottom w:w="0" w:type="dxa"/>
          <w:right w:w="0" w:type="dxa"/>
        </w:tblCellMar>
      </w:tblPr>
      <w:tblGrid>
        <w:gridCol w:w="3016"/>
        <w:gridCol w:w="346"/>
        <w:gridCol w:w="211"/>
        <w:gridCol w:w="796"/>
        <w:gridCol w:w="286"/>
        <w:gridCol w:w="228"/>
        <w:gridCol w:w="957"/>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15160" cy="175260"/>
                      <wp:effectExtent l="0" t="0" r="0" b="0"/>
                      <wp:wrapNone/>
                      <wp:docPr id="113" name="Frame11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05460" cy="175260"/>
                      <wp:effectExtent l="0" t="0" r="0" b="0"/>
                      <wp:wrapNone/>
                      <wp:docPr id="116" name="Frame1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1610" cy="175260"/>
                      <wp:effectExtent l="0" t="0" r="0" b="0"/>
                      <wp:wrapNone/>
                      <wp:docPr id="117" name="Frame1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4780" cy="175260"/>
                      <wp:effectExtent l="0" t="0" r="0" b="0"/>
                      <wp:wrapNone/>
                      <wp:docPr id="118" name="Frame1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07695" cy="175260"/>
                      <wp:effectExtent l="0" t="0" r="0" b="0"/>
                      <wp:wrapNone/>
                      <wp:docPr id="119" name="Frame11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8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left"/>
              <w:rPr/>
            </w:pPr>
            <w:r>
              <w:rPr/>
              <w:t>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development,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111,077</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(10,547)</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land and development,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100,530</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112,836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Dispositions—</w:t>
      </w:r>
      <w:r>
        <w:rPr>
          <w:rFonts w:ascii="Times New Roman;Times;serif" w:hAnsi="Times New Roman;Times;serif"/>
          <w:sz w:val="20"/>
        </w:rPr>
        <w:t xml:space="preserve">During the three months ended March 31, 2026 and 2025, the Company sold land parcels and residential lots and units and recognized land development revenue of $11.0 million and $5.2 million, respectively, and land development cost of sales of $9.3 million and $6.8 million, respectively, from its land and development portfolio.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Company transferred the ownership interests in a subsidiary land owner to a third-party venture (the “Venture”) for the development and construction of a multifamily project in Asbury Park, NJ (the “Project”). In connection with this transfer, the Company (i) provided the Venture with a $10.6 million mezzanine loan that was fully funded at closing and was secured by the ownership interests in the subsidiary land owner (until the mezzanine loan was repaid in full in March 2026); and (ii) provided a completion and carry guaranty on the Venture’s $80.0 million senior construction mortgage loan (refer to Note 9) with a third-party lender in return for a fee. The third-party members provided $21.0 million in cash capital contributions to the Venture, exclusive of a $3.0 million deferred profits interest, which combined represented the total equity capitalization and was included in noncontrolling interests in the Company’s consolidated balance sheet prior to the Venture’s deconsolidation in March 2026. The Venture began operations in September 2025. The Company was a non-member manager of the Venture and was entitled to certain fees, but otherwise had no expected member-related economics. The Company controlled all decision-making of the Venture until March 2026 when the mezzanine loan was repaid.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closing, the Company determined that the Venture (and its consolidated subsidiaries developing the Project) was a VIE for which the Company was the primary beneficiary and thus consolidated it under ASC 810. As a result, for accounting purposes, the Project was recorded on the Company’s consolidated financial statements and the mezzanine loan eliminated in consolidation prior to the mezzanine loan being repaid. The Company deconsolidated the Venture in March 2026 when the mezzanine loan was repaid in full and the Company’s senior loan guaranties were released by the lender. The Company recorded $10.6 million of land development revenue, excluding $2.4 million of related accrued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$9.2 million of land development cost of sales in its consolidated statement of operations when the mezzanine loan was repaid in full in March 2026, which represented the Company’s sale of land to the Venture. The Company recorded a $0.4 million loss on deconsolidation which is recorded in “Other expense” in the Company’s consolidated statement of operations.</w:t>
      </w:r>
    </w:p>
    <w:p>
      <w:pPr>
        <w:pStyle w:val="TextBody"/>
        <w:bidi w:val="0"/>
        <w:spacing w:before="0" w:after="240"/>
        <w:ind w:left="0" w:right="0" w:hanging="0"/>
        <w:jc w:val="left"/>
        <w:rPr>
          <w:rFonts w:ascii="Times New Roman;Times;serif" w:hAnsi="Times New Roman;Times;serif"/>
          <w:b/>
          <w:sz w:val="20"/>
        </w:rPr>
      </w:pPr>
      <w:bookmarkStart w:id="603" w:name="Tc_NdmU7H2Ybkmv92r5p4g1oA_10_2"/>
      <w:bookmarkStart w:id="604" w:name="Tc_lEaGULl5zEqZ-vmESwX5qQ_10_0"/>
      <w:bookmarkStart w:id="605" w:name="Tc_uvZhuRB2ZE6zKnG4TLHF4A_9_0"/>
      <w:bookmarkStart w:id="606" w:name="Tc_DWzyTine1U-k3T9GSl3oeA_8_2"/>
      <w:bookmarkStart w:id="607" w:name="Tc_K41oRBftO0O1OTI9bvIWjQ_8_0"/>
      <w:bookmarkStart w:id="608" w:name="Tc_gvta1kJ0E0mmFrmBtkUV3w_7_0"/>
      <w:bookmarkStart w:id="609" w:name="Tc_bgblPDtk4U6Kg7qMC3NnSA_5_2"/>
      <w:bookmarkStart w:id="610" w:name="Tc_v0dOr6qE80KnZnUKYXfH0A_5_0"/>
      <w:bookmarkStart w:id="611" w:name="Tc_IAOfcQIOWkuAkEmLS-ePgg_4_0"/>
      <w:bookmarkStart w:id="612" w:name="Tc_VYUrkDTYikalfPN90NNpYg_3_0"/>
      <w:bookmarkStart w:id="613" w:name="Tc_lAsVBSoaIUid9nBQySZyow_2_2"/>
      <w:bookmarkStart w:id="614" w:name="Tc_4pAYXoztZkWXODhRwUGRMQ_2_0"/>
      <w:bookmarkStart w:id="615" w:name="Tc_tVUMLsw-7kicc-38RrV3og_1_0"/>
      <w:bookmarkStart w:id="616" w:name="_55924d3d_c50b_4106_a77c_fc0c59dd0eb7"/>
      <w:bookmarkStart w:id="617" w:name="Tc_exP3DGQeUE62-1DOVrddDg_12_5"/>
      <w:bookmarkStart w:id="618" w:name="Tc_fHlkR3zYVEysJ9LcVcTpSA_12_2"/>
      <w:bookmarkStart w:id="619" w:name="Tc_lg1XSXoI3kOE8i8plzg6pQ_12_0"/>
      <w:bookmarkStart w:id="620" w:name="Tc_6Mn071NPtk-95Rz_MWa9oA_11_0"/>
      <w:bookmarkStart w:id="621" w:name="Tc_7HIdPwr5s0q-I2IE3Ni7sw_10_0"/>
      <w:bookmarkStart w:id="622" w:name="Tc_G7OlK3DciES0VIb1WCC4dw_9_0"/>
      <w:bookmarkStart w:id="623" w:name="Tc_EzKfv6ScH0KNR-NWUOQy5A_8_0"/>
      <w:bookmarkStart w:id="624" w:name="Tc_ttdXuO0DaEivojipMyBgqA_7_0"/>
      <w:bookmarkStart w:id="625" w:name="Tc_VTUhmjn3kESGz8HAnRWIPw_6_0"/>
      <w:bookmarkStart w:id="626" w:name="Tc_WtLmlq7a-ESqTEjpk0UkYA_5_0"/>
      <w:bookmarkStart w:id="627" w:name="Tc_B0wZosjX0EiQP1sqy8pgFw_4_5"/>
      <w:bookmarkStart w:id="628" w:name="Tc_oWb07jLqgUWHsb0IwSFghA_4_2"/>
      <w:bookmarkStart w:id="629" w:name="Tc_ir-E0QkuB06CBC3JM9IfEw_4_0"/>
      <w:bookmarkStart w:id="630" w:name="Tc_jt35elnXHkKCsR6qn4RDdg_3_0"/>
      <w:bookmarkStart w:id="631" w:name="Tc_2BjyGeGGCEOTU8IlENWKxg_2_5"/>
      <w:bookmarkStart w:id="632" w:name="Tc_loQA2jQoaUa7wVKh97UbtQ_2_2"/>
      <w:bookmarkStart w:id="633" w:name="Tc_3jQncQ5-G0a7e6XIdRn4Bw_1_2"/>
      <w:bookmarkStart w:id="634" w:name="_eb75f940_5cd3_4eb2_ba63_5ab815fe07d3"/>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rFonts w:ascii="Times New Roman;Times;serif" w:hAnsi="Times New Roman;Times;serif"/>
          <w:b/>
          <w:sz w:val="20"/>
        </w:rPr>
        <w:t>Note 6—Loans Receivable and Other Lending Investments, net</w:t>
      </w:r>
    </w:p>
    <w:p>
      <w:pPr>
        <w:pStyle w:val="TextBody"/>
        <w:bidi w:val="0"/>
        <w:spacing w:lineRule="auto" w:line="240"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following is a summary of the Company’s loans receivable and other lending investments by class ($ in thousands): </w:t>
      </w:r>
      <w:r>
        <w:rPr>
          <w:rFonts w:ascii="Times New Roman;Times;serif" w:hAnsi="Times New Roman;Times;serif"/>
          <w:sz w:val="15"/>
        </w:rPr>
        <w:t xml:space="preserve">(1) </w:t>
      </w:r>
    </w:p>
    <w:tbl>
      <w:tblPr>
        <w:tblW w:w="10025" w:type="dxa"/>
        <w:jc w:val="left"/>
        <w:tblInd w:w="0" w:type="dxa"/>
        <w:tblLayout w:type="fixed"/>
        <w:tblCellMar>
          <w:top w:w="0" w:type="dxa"/>
          <w:left w:w="0" w:type="dxa"/>
          <w:bottom w:w="0" w:type="dxa"/>
          <w:right w:w="0" w:type="dxa"/>
        </w:tblCellMar>
      </w:tblPr>
      <w:tblGrid>
        <w:gridCol w:w="6586"/>
        <w:gridCol w:w="346"/>
        <w:gridCol w:w="299"/>
        <w:gridCol w:w="962"/>
        <w:gridCol w:w="286"/>
        <w:gridCol w:w="328"/>
        <w:gridCol w:w="1218"/>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182110" cy="175260"/>
                      <wp:effectExtent l="0" t="0" r="0" b="0"/>
                      <wp:wrapNone/>
                      <wp:docPr id="120" name="Frame120"/>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89865" cy="175260"/>
                      <wp:effectExtent l="0" t="0" r="0" b="0"/>
                      <wp:wrapNone/>
                      <wp:docPr id="122" name="Frame12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10870" cy="175260"/>
                      <wp:effectExtent l="0" t="0" r="0" b="0"/>
                      <wp:wrapNone/>
                      <wp:docPr id="123" name="Frame12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1610" cy="175260"/>
                      <wp:effectExtent l="0" t="0" r="0" b="0"/>
                      <wp:wrapNone/>
                      <wp:docPr id="124" name="Frame1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8280" cy="175260"/>
                      <wp:effectExtent l="0" t="0" r="0" b="0"/>
                      <wp:wrapNone/>
                      <wp:docPr id="125" name="Frame12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73430" cy="175260"/>
                      <wp:effectExtent l="0" t="0" r="0" b="0"/>
                      <wp:wrapNone/>
                      <wp:docPr id="126" name="Frame12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286" w:type="dxa"/>
            <w:tcBorders/>
            <w:vAlign w:val="center"/>
          </w:tcPr>
          <w:p>
            <w:pPr>
              <w:pStyle w:val="TableContents"/>
              <w:bidi w:val="0"/>
              <w:spacing w:before="0" w:after="1"/>
              <w:ind w:left="0" w:right="0" w:hanging="0"/>
              <w:jc w:val="left"/>
              <w:rPr/>
            </w:pPr>
            <w:r>
              <w:rPr/>
              <w:t>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mortgages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 mortgages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16,616</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16,337</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 gross carrying value of loans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16,616</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19,387</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lending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38,234</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 other lending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38,234</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gross carrying value of loans receivable and other lending investments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54,850</w:t>
            </w:r>
          </w:p>
        </w:tc>
        <w:tc>
          <w:tcPr>
            <w:tcW w:w="28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44,673</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 receivable and other lending investments, net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54,353</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44,095</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As of March 31, 2026 and December 31, 2025, accrued interest was $0.5</w:t>
            </w:r>
            <w:r>
              <w:rPr>
                <w:caps w:val="false"/>
                <w:smallCaps w:val="false"/>
                <w:spacing w:val="4"/>
              </w:rPr>
              <w:t> </w:t>
            </w:r>
            <w:r>
              <w:rPr>
                <w:rFonts w:ascii="Times New Roman;Times;serif" w:hAnsi="Times New Roman;Times;serif"/>
                <w:b w:val="false"/>
                <w:i w:val="false"/>
                <w:caps w:val="false"/>
                <w:smallCaps w:val="false"/>
                <w:spacing w:val="4"/>
                <w:sz w:val="16"/>
              </w:rPr>
              <w:t>million and $1.1</w:t>
            </w:r>
            <w:r>
              <w:rPr>
                <w:caps w:val="false"/>
                <w:smallCaps w:val="false"/>
                <w:spacing w:val="4"/>
              </w:rPr>
              <w:t> </w:t>
            </w:r>
            <w:r>
              <w:rPr>
                <w:rFonts w:ascii="Times New Roman;Times;serif" w:hAnsi="Times New Roman;Times;serif"/>
                <w:b w:val="false"/>
                <w:i w:val="false"/>
                <w:caps w:val="false"/>
                <w:smallCaps w:val="false"/>
                <w:spacing w:val="4"/>
                <w:sz w:val="16"/>
              </w:rPr>
              <w:t>million, respectively, and is recorded in “Accrued interest and operating lease income receivable, net” on the Company’s consolidated balance sheets. During the three months ended March 31, 2026 and 2025, the Company did not reverse any accrued interest on its loan portfolio.</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Allowance for Loan Losses</w:t>
      </w:r>
      <w:r>
        <w:rPr>
          <w:rFonts w:ascii="Times New Roman;Times;serif" w:hAnsi="Times New Roman;Times;serif"/>
          <w:sz w:val="20"/>
        </w:rPr>
        <w:t xml:space="preserve">—Changes in the Company’s general allowance for loan losses were as follows for the three months ended March 31, 2026 and 2025 ($ in thousands): </w:t>
      </w:r>
    </w:p>
    <w:tbl>
      <w:tblPr>
        <w:tblW w:w="5092" w:type="dxa"/>
        <w:jc w:val="left"/>
        <w:tblInd w:w="0" w:type="dxa"/>
        <w:tblLayout w:type="fixed"/>
        <w:tblCellMar>
          <w:top w:w="0" w:type="dxa"/>
          <w:left w:w="0" w:type="dxa"/>
          <w:bottom w:w="0" w:type="dxa"/>
          <w:right w:w="0" w:type="dxa"/>
        </w:tblCellMar>
      </w:tblPr>
      <w:tblGrid>
        <w:gridCol w:w="4156"/>
        <w:gridCol w:w="109"/>
        <w:gridCol w:w="211"/>
        <w:gridCol w:w="61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639060" cy="175260"/>
                      <wp:effectExtent l="0" t="0" r="0" b="0"/>
                      <wp:wrapNone/>
                      <wp:docPr id="127" name="Frame127"/>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1160" cy="175260"/>
                      <wp:effectExtent l="0" t="0" r="0" b="0"/>
                      <wp:wrapNone/>
                      <wp:docPr id="130" name="Frame13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2026</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41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981</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March 31, 2026 and 2025, the Company recorded a provision for (recovery of) loan losses of $0.4</w:t>
            </w:r>
            <w:r>
              <w:rPr>
                <w:caps w:val="false"/>
                <w:smallCaps w:val="false"/>
              </w:rPr>
              <w:t xml:space="preserve"> </w:t>
            </w:r>
            <w:r>
              <w:rPr>
                <w:rFonts w:ascii="Times New Roman;Times;serif" w:hAnsi="Times New Roman;Times;serif"/>
                <w:b w:val="false"/>
                <w:i w:val="false"/>
                <w:caps w:val="false"/>
                <w:smallCaps w:val="false"/>
                <w:sz w:val="16"/>
              </w:rPr>
              <w:t>million and ($0.1)</w:t>
            </w:r>
            <w:r>
              <w:rPr>
                <w:caps w:val="false"/>
                <w:smallCaps w:val="false"/>
              </w:rPr>
              <w:t xml:space="preserve"> </w:t>
            </w:r>
            <w:r>
              <w:rPr>
                <w:rFonts w:ascii="Times New Roman;Times;serif" w:hAnsi="Times New Roman;Times;serif"/>
                <w:b w:val="false"/>
                <w:i w:val="false"/>
                <w:caps w:val="false"/>
                <w:smallCaps w:val="false"/>
                <w:sz w:val="16"/>
              </w:rPr>
              <w:t>million, respectively, in its consolidated statements of operations. The provision in 2026 was primarily the result of a charge-off on one</w:t>
            </w:r>
            <w:r>
              <w:rPr>
                <w:caps w:val="false"/>
                <w:smallCaps w:val="false"/>
              </w:rPr>
              <w:t xml:space="preserve"> </w:t>
            </w:r>
            <w:r>
              <w:rPr>
                <w:rFonts w:ascii="Times New Roman;Times;serif" w:hAnsi="Times New Roman;Times;serif"/>
                <w:b w:val="false"/>
                <w:i w:val="false"/>
                <w:caps w:val="false"/>
                <w:smallCaps w:val="false"/>
                <w:sz w:val="16"/>
              </w:rPr>
              <w:t>of the Company’s loans that was repaid in the first quarter of 2026. The recovery of loan losses in 2025 was primarily the result of a $3.0</w:t>
            </w:r>
            <w:r>
              <w:rPr>
                <w:caps w:val="false"/>
                <w:smallCaps w:val="false"/>
              </w:rPr>
              <w:t> </w:t>
            </w:r>
            <w:r>
              <w:rPr>
                <w:rFonts w:ascii="Times New Roman;Times;serif" w:hAnsi="Times New Roman;Times;serif"/>
                <w:b w:val="false"/>
                <w:i w:val="false"/>
                <w:caps w:val="false"/>
                <w:smallCaps w:val="false"/>
                <w:sz w:val="16"/>
              </w:rPr>
              <w:t>million repayment on one</w:t>
            </w:r>
            <w:r>
              <w:rPr>
                <w:caps w:val="false"/>
                <w:smallCaps w:val="false"/>
              </w:rPr>
              <w:t> </w:t>
            </w:r>
            <w:r>
              <w:rPr>
                <w:rFonts w:ascii="Times New Roman;Times;serif" w:hAnsi="Times New Roman;Times;serif"/>
                <w:b w:val="false"/>
                <w:i w:val="false"/>
                <w:caps w:val="false"/>
                <w:smallCaps w:val="false"/>
                <w:sz w:val="16"/>
              </w:rPr>
              <w:t>of the Company’s loans.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360" w:right="0" w:hanging="0"/>
        <w:jc w:val="both"/>
        <w:rPr/>
      </w:pPr>
      <w:bookmarkStart w:id="635" w:name="Tc_t73xyARcjUWQTVB4pwag3w_8_5"/>
      <w:bookmarkStart w:id="636" w:name="Tc_WBR0KLhW0kGGj7Q5B4KCEQ_8_2"/>
      <w:bookmarkStart w:id="637" w:name="Tc_inyr84PMv0CX9WflYy950w_8_0"/>
      <w:bookmarkStart w:id="638" w:name="Tc_jVIVFpQlbEK9Wy2vSQN3jw_7_0"/>
      <w:bookmarkStart w:id="639" w:name="Tc_bK8z6PHPKEaalAyxPPSeVQ_6_6"/>
      <w:bookmarkStart w:id="640" w:name="Tc_ZmX_bmmat0-dJ9RnXqwA2Q_6_3"/>
      <w:bookmarkStart w:id="641" w:name="Tc_-buNVLg2fk-2VcxVlnydYA_6_0"/>
      <w:bookmarkStart w:id="642" w:name="Tc_VvrhrlW1ek2_FFLsjN2QBw_5_6"/>
      <w:bookmarkStart w:id="643" w:name="Tc_WTqeQK_l3U-N2SSHVBMF3g_5_3"/>
      <w:bookmarkStart w:id="644" w:name="Tc_Gy60a_KUU0mScxfTIou8NA_5_0"/>
      <w:bookmarkStart w:id="645" w:name="Tc_p2n2LCLCfUitdSkbl_P1Dw_4_6"/>
      <w:bookmarkStart w:id="646" w:name="Tc_I2OnU7fdAEKz0lOexl08JA_4_5"/>
      <w:bookmarkStart w:id="647" w:name="Tc_vlFa227TP0-vyv_ALolCOA_4_3"/>
      <w:bookmarkStart w:id="648" w:name="Tc_dubZWnfXRUqigqQGpeW76g_4_2"/>
      <w:bookmarkStart w:id="649" w:name="Tc_tTTgrluwD0msECQE-K2ZZQ_4_0"/>
      <w:bookmarkStart w:id="650" w:name="Tc_p7ogXUwiY0C0yzhJA6yCtw_3_0"/>
      <w:bookmarkStart w:id="651" w:name="Tc_dqdLicIJIU2DfBbXz9P-LQ_2_5"/>
      <w:bookmarkStart w:id="652" w:name="Tc_Rwppkw6IV0KdRbk2sYH6bQ_2_2"/>
      <w:bookmarkStart w:id="653" w:name="Tc_BHuwyxDvXkG6eP5Oh6_SFA_1_5"/>
      <w:bookmarkStart w:id="654" w:name="Tc_EeWinwcEPUSAn1AbvmOEBQ_1_2"/>
      <w:bookmarkStart w:id="655" w:name="_1acd7bcc_4a61_469e_b1f3_0c632ef1e63e"/>
      <w:bookmarkStart w:id="656" w:name="Tc_mX_72LSI9EW-9jmS73GatA_11_14"/>
      <w:bookmarkStart w:id="657" w:name="Tc_3HAIzxPVy0mgMpqgDYbt0Q_11_11"/>
      <w:bookmarkStart w:id="658" w:name="Tc_ml5O7RdW_E6Li5I1M-6KIw_11_8"/>
      <w:bookmarkStart w:id="659" w:name="Tc_S8bBAwqpQ0OG3D2xKvwPCg_11_5"/>
      <w:bookmarkStart w:id="660" w:name="Tc_pdRuLZd5q022jFRKz1Lr3A_11_2"/>
      <w:bookmarkStart w:id="661" w:name="Tc_vf7Cq1C1RkieIGSq8n610A_11_0"/>
      <w:bookmarkStart w:id="662" w:name="Tc_lqOTBphw8EyrLXUVzf6SOQ_10_14"/>
      <w:bookmarkStart w:id="663" w:name="Tc_vKIKEvwv90mcmMupVwx2pg_10_11"/>
      <w:bookmarkStart w:id="664" w:name="Tc_5sH4Nn4wtkmHvpRVcXge9A_10_8"/>
      <w:bookmarkStart w:id="665" w:name="Tc_bsnYG_jj3EicR-ubTxmGIA_10_5"/>
      <w:bookmarkStart w:id="666" w:name="Tc_KNbmYn82Z027v_toW3R0vw_10_2"/>
      <w:bookmarkStart w:id="667" w:name="Tc_9ziqYxCOq0GDjb9PIWPPOg_9_0"/>
      <w:bookmarkStart w:id="668" w:name="Tc_JANakxtQ-E2O7A-ETWEnyQ_8_0"/>
      <w:bookmarkStart w:id="669" w:name="Tc_5Dm7zIC-806LmECiDrzV1w_7_14"/>
      <w:bookmarkStart w:id="670" w:name="Tc_AdNqc9WSCUuQA2jtZuA3Yg_7_11"/>
      <w:bookmarkStart w:id="671" w:name="Tc_kzHTpQZeuUGx9pB53Xjdkw_7_8"/>
      <w:bookmarkStart w:id="672" w:name="Tc_IAbgXl9pDk-KEpZuOLwjzQ_7_5"/>
      <w:bookmarkStart w:id="673" w:name="Tc_bacfFFzja02yI-umF2OD-Q_7_2"/>
      <w:bookmarkStart w:id="674" w:name="Tc_w8Z9F8G6EUOE3iHjordBFw_7_0"/>
      <w:bookmarkStart w:id="675" w:name="Tc_ckZ3PNm-jUit8_Wd2yHHjg_6_14"/>
      <w:bookmarkStart w:id="676" w:name="Tc_h1x0R1i_7060vTBti1Q9RQ_6_11"/>
      <w:bookmarkStart w:id="677" w:name="Tc_9wvBi1rLQ06VYAqwUb6kjg_6_8"/>
      <w:bookmarkStart w:id="678" w:name="Tc_5QqSKVqyEEGyrZGYq8klVw_6_5"/>
      <w:bookmarkStart w:id="679" w:name="Tc_nPxy-z4EO0G2PzWRLh9VgA_6_2"/>
      <w:bookmarkStart w:id="680" w:name="Tc_k6EOpTfGR0qyrEL3NumIkg_5_0"/>
      <w:bookmarkStart w:id="681" w:name="Tc_9PZ3MI3tbE2XdIpSgI3RzQ_4_0"/>
      <w:bookmarkStart w:id="682" w:name="Tc_Q5eAICSfuESTVC4eLkcqaw_3_14"/>
      <w:bookmarkStart w:id="683" w:name="Tc_SfHF6qp8B0ONQhTyrCofEQ_3_11"/>
      <w:bookmarkStart w:id="684" w:name="Tc_zNUXncokg0-QYVYuaYNv-w_3_8"/>
      <w:bookmarkStart w:id="685" w:name="Tc_pfUksqoJw0-o_RJoaL_oag_3_5"/>
      <w:bookmarkStart w:id="686" w:name="Tc_eRjPFXhvC0ugt9kYLc8uug_3_2"/>
      <w:bookmarkStart w:id="687" w:name="Tc_APEBdr8HlEu3kr_dAx_A8Q_2_14"/>
      <w:bookmarkStart w:id="688" w:name="Tc_cngUhqDV6k2Muc4gZFgHBg_2_11"/>
      <w:bookmarkStart w:id="689" w:name="Tc_pGaOfiuSC0eLviMtfD_sMw_2_8"/>
      <w:bookmarkStart w:id="690" w:name="Tc_BqHyt1BUxk6ZWIKMLsjL8g_2_5"/>
      <w:bookmarkStart w:id="691" w:name="Tc_PVi_6WsGDEySQLoR6JyPOQ_1_14"/>
      <w:bookmarkStart w:id="692" w:name="Tc_IFI274d14EmmoxkprSySFw_1_8"/>
      <w:bookmarkStart w:id="693" w:name="_c66db12f_f4b5_4f31_bc68_b7bd18ae125c"/>
      <w:bookmarkStart w:id="694" w:name="_3cc0d0e9_6353_46a4_a5a0_9ab137d31e89_3"/>
      <w:bookmarkStart w:id="695" w:name="_3cc0d0e9_6353_46a4_a5a0_9ab137d31e89_2"/>
      <w:bookmarkStart w:id="696" w:name="_3cc0d0e9_6353_46a4_a5a0_9ab137d31e89"/>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Credit Characteristics</w:t>
      </w:r>
      <w:r>
        <w:rPr>
          <w:rFonts w:ascii="Times New Roman;Times;serif" w:hAnsi="Times New Roman;Times;serif"/>
          <w:sz w:val="20"/>
        </w:rPr>
        <w:t>—As part of the Company’s process for monitoring the credit quality of its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March 31, 2026 and December 31, 2025, all of the Company’s loans were current in their payment status and had a risk rating of 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pacing w:val="-4"/>
          <w:sz w:val="20"/>
        </w:rPr>
        <w:t>Other lending investments—</w:t>
      </w:r>
      <w:r>
        <w:rPr>
          <w:rFonts w:ascii="Times New Roman;Times;serif" w:hAnsi="Times New Roman;Times;serif"/>
          <w:spacing w:val="4"/>
          <w:sz w:val="20"/>
        </w:rPr>
        <w:t>Other lending investments includes the following securities ($ in thousands):</w:t>
      </w:r>
    </w:p>
    <w:tbl>
      <w:tblPr>
        <w:tblW w:w="8832" w:type="dxa"/>
        <w:jc w:val="left"/>
        <w:tblInd w:w="0" w:type="dxa"/>
        <w:tblLayout w:type="fixed"/>
        <w:tblCellMar>
          <w:top w:w="0" w:type="dxa"/>
          <w:left w:w="0" w:type="dxa"/>
          <w:bottom w:w="0" w:type="dxa"/>
          <w:right w:w="0" w:type="dxa"/>
        </w:tblCellMar>
      </w:tblPr>
      <w:tblGrid>
        <w:gridCol w:w="2446"/>
        <w:gridCol w:w="346"/>
        <w:gridCol w:w="217"/>
        <w:gridCol w:w="699"/>
        <w:gridCol w:w="346"/>
        <w:gridCol w:w="217"/>
        <w:gridCol w:w="699"/>
        <w:gridCol w:w="346"/>
        <w:gridCol w:w="236"/>
        <w:gridCol w:w="709"/>
        <w:gridCol w:w="346"/>
        <w:gridCol w:w="211"/>
        <w:gridCol w:w="676"/>
        <w:gridCol w:w="346"/>
        <w:gridCol w:w="211"/>
        <w:gridCol w:w="7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53210" cy="175260"/>
                      <wp:effectExtent l="0" t="0" r="0" b="0"/>
                      <wp:wrapNone/>
                      <wp:docPr id="131" name="Frame13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7795" cy="175260"/>
                      <wp:effectExtent l="0" t="0" r="0" b="0"/>
                      <wp:wrapNone/>
                      <wp:docPr id="133" name="Frame13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3865" cy="175260"/>
                      <wp:effectExtent l="0" t="0" r="0" b="0"/>
                      <wp:wrapNone/>
                      <wp:docPr id="134" name="Frame13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7795" cy="175260"/>
                      <wp:effectExtent l="0" t="0" r="0" b="0"/>
                      <wp:wrapNone/>
                      <wp:docPr id="136" name="Frame13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3865" cy="175260"/>
                      <wp:effectExtent l="0" t="0" r="0" b="0"/>
                      <wp:wrapNone/>
                      <wp:docPr id="137" name="Frame13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9860" cy="175260"/>
                      <wp:effectExtent l="0" t="0" r="0" b="0"/>
                      <wp:wrapNone/>
                      <wp:docPr id="139" name="Frame13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50215" cy="175260"/>
                      <wp:effectExtent l="0" t="0" r="0" b="0"/>
                      <wp:wrapNone/>
                      <wp:docPr id="140" name="Frame14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6" name="Frame1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Face Value</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Municipal debt securities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24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Municipal debt securities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25,286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16"/>
              </w:rPr>
              <w:t>As of March 31, 2026, the Company had one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security with a $0.2</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unrealized gain and nine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securities with an aggregate fair value of $32.0</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$1.2</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of which seven</w:t>
            </w:r>
            <w:r>
              <w:rPr>
                <w:caps w:val="false"/>
                <w:smallCaps w:val="false"/>
                <w:color w:val="212529"/>
              </w:rPr>
              <w:t xml:space="preserve"> </w:t>
            </w:r>
            <w:r>
              <w:rPr>
                <w:rFonts w:ascii="Times New Roman;Times;serif" w:hAnsi="Times New Roman;Times;serif"/>
                <w:b w:val="false"/>
                <w:i w:val="false"/>
                <w:caps w:val="false"/>
                <w:smallCaps w:val="false"/>
                <w:color w:val="212529"/>
                <w:sz w:val="16"/>
              </w:rPr>
              <w:t>of these securities with an aggregate fair value of $14.4</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$1.0</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were in an unrealized loss position for more than 12 months. As of December 31, 2025, the Company had one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security with an unrealized gain of $0.3</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nine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securities with an aggregate fair value of $18.9</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$0.7</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of which five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of these securities with an aggregate fair value of $10.6</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$0.6</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were in an unrealized loss position for more than 12 months. The Company has determined that the unrealized losses were not the result of a credit impairment and expects to collect all amounts due from estimated future cash flows.</w:t>
            </w:r>
          </w:p>
        </w:tc>
      </w:tr>
    </w:tbl>
    <w:p>
      <w:pPr>
        <w:pStyle w:val="TextBody"/>
        <w:bidi w:val="0"/>
        <w:spacing w:before="0" w:after="0"/>
        <w:ind w:left="360" w:right="0" w:hanging="0"/>
        <w:jc w:val="both"/>
        <w:rPr>
          <w:spacing w:val="4"/>
        </w:rPr>
      </w:pPr>
      <w:r>
        <w:rPr>
          <w:spacing w:val="4"/>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March 31, 2026, the contractual maturities of the Company’s securities were as follows ($ in thousands):</w:t>
      </w:r>
    </w:p>
    <w:tbl>
      <w:tblPr>
        <w:tblW w:w="4976" w:type="dxa"/>
        <w:jc w:val="left"/>
        <w:tblInd w:w="0" w:type="dxa"/>
        <w:tblLayout w:type="fixed"/>
        <w:tblCellMar>
          <w:top w:w="0" w:type="dxa"/>
          <w:left w:w="0" w:type="dxa"/>
          <w:bottom w:w="0" w:type="dxa"/>
          <w:right w:w="0" w:type="dxa"/>
        </w:tblCellMar>
      </w:tblPr>
      <w:tblGrid>
        <w:gridCol w:w="2566"/>
        <w:gridCol w:w="146"/>
        <w:gridCol w:w="217"/>
        <w:gridCol w:w="699"/>
        <w:gridCol w:w="346"/>
        <w:gridCol w:w="211"/>
        <w:gridCol w:w="79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29410" cy="175260"/>
                      <wp:effectExtent l="0" t="0" r="0" b="0"/>
                      <wp:wrapNone/>
                      <wp:docPr id="147" name="Frame147"/>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7795" cy="175260"/>
                      <wp:effectExtent l="0" t="0" r="0" b="0"/>
                      <wp:wrapNone/>
                      <wp:docPr id="149" name="Frame14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43865" cy="175260"/>
                      <wp:effectExtent l="0" t="0" r="0" b="0"/>
                      <wp:wrapNone/>
                      <wp:docPr id="150" name="Frame15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2285" cy="175260"/>
                      <wp:effectExtent l="0" t="0" r="0" b="0"/>
                      <wp:wrapNone/>
                      <wp:docPr id="153" name="Frame15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w: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Maturities</w:t>
            </w:r>
          </w:p>
        </w:tc>
        <w:tc>
          <w:tcPr>
            <w:tcW w:w="1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1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one year through 5 years</w:t>
            </w:r>
          </w:p>
        </w:tc>
        <w:tc>
          <w:tcPr>
            <w:tcW w:w="1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5 years through 10 years</w:t>
            </w:r>
          </w:p>
        </w:tc>
        <w:tc>
          <w:tcPr>
            <w:tcW w:w="1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10 years</w:t>
            </w:r>
          </w:p>
        </w:tc>
        <w:tc>
          <w:tcPr>
            <w:tcW w:w="1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38,234</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38,234</w:t>
            </w:r>
          </w:p>
        </w:tc>
      </w:tr>
    </w:tbl>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7—Other Investments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Company’s “other investments” is its investment in Safehold Inc. (“Safe”). Safe is a publicly-traded company that acquires, owns, manages, finances and capitalizes ground leases. Ground leases generally represent ownership of the land underlying commercial real estate projects that is net leased by the fee owner of the land to the owners/operators of the real estate projects built thereon (“Ground Leases”). As of March 31, 2026, the Company owned approximately 13.5 million shares, or 18.8%, of Safe’s outstanding common stock.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2026, the Company’s investment in Safe had a market value of $183.0 million based on the closing price of $13.53 on March 31, 2026. The Company does not have significant influence over Safe and accounts for its investment in Safe as an equity investment under ASC 321 – Investments – Equity Securities (“ASC 321”), which requires that the Company adjust its investment in Safe to fair value through income at each reporting period. As such, the Company recognized an “Unrealized gain (loss) on equity investment” of ($2.2) million and $3.2 million, respectively, in its consolidated statements of operations for the three months ended March 31, 2026 and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31, 2023, the Company entered into the following agreements with Safe: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Separation and Distribution Agreement</w:t>
      </w:r>
      <w:r>
        <w:rPr>
          <w:rFonts w:ascii="Times New Roman;Times;serif" w:hAnsi="Times New Roman;Times;serif"/>
          <w:sz w:val="20"/>
        </w:rPr>
        <w:t>—The Separation and Distribution Agreement contains certain provisions governing Star Holdings' relationship with Safe with respect to and following the Spin-Off. The Separation and Distribution Agreement includes provisions allocating assets and liabilities between Star Holdings and Safe and various post-closing covenants relating to, among other things, the treatment of the parties’ insurance policies, information sharing and other operational matters. The Separation and Distribution Agreement includes a mutual release by Star Holdings, on the one hand, and Safe, on the other hand, of the other party from certain specified liabilities, as well as mutual indemnification covenants pursuant to which Star Holdings and Safe have agreed to indemnify each other from certain specified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Management Agreement</w:t>
      </w:r>
      <w:r>
        <w:rPr>
          <w:rFonts w:ascii="Times New Roman;Times;serif" w:hAnsi="Times New Roman;Times;serif"/>
          <w:sz w:val="20"/>
        </w:rPr>
        <w:t>—The Company entered into the Management Agreement with Safehold Management Services Inc. (the “Manager”), a subsidiary of Safe. The Management Agreement requires the Manager to manage the Company’s assets and its and its subsidiaries’ day-to-day operations, subject to the supervision of Board of Trustees of the Company (the “Board”).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The Manager does not assume any responsibility other than to render the services called for thereunder and is not responsible for any action of the Board in following or declining to follow its advice or recommendations.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Management Agreement has an annual term that automatically renews on March 31 of each year. The Company pays a fixed cash management fee and reimburses the Manager for third party expenses incurred in connection with its services. The Company paid the Manager management fees of $25.0 million for the annual term ended March 31, 2024, $15.0 million for the annual term ended March 31, 2025 and $10.0 million for the annual term ended March 31, 2026. The annual fee declined to $7.5 million in the current annual term and adjusts to 2.0% of the gross book value of the Company’s assets, excluding the Safe Shares, after the current term. During the three months ended March 31, 2026 and 2025, the Company recorded $2.5 million and $3.8 million, respectively, of management fees to the Manager.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Management Agreement may be terminated by the Company without cause by not less than one hundred eighty days’ written notice to the Manager upon the affirmative vote of at least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the Company’s independent trustees, provided, however, that if the date of termination occurs prior to March 31, 2027, the termination will be subject to payment of the applicable termination fee to the Manager. The Company may also terminate the Management Agreement at any time with 30 days’ prior written notice from the Company’s board of trustees for “cause,” as defined in the Management Agreement.</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event of a termination without cause by the Company prior to March 31, 2027, the Company will pay the Manager a termination fee of $55.0 million minus the aggregate amount of management fees actually paid to the Manager prior to the termination date. However, if the Company has completed the liquidation of its assets on or before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termination date, the termination fee will consist of any portion of the annual management fee that remained unpaid for the remainder of the then current annual term.</w:t>
      </w:r>
    </w:p>
    <w:p>
      <w:pPr>
        <w:pStyle w:val="TextBody"/>
        <w:bidi w:val="0"/>
        <w:spacing w:before="0" w:after="0"/>
        <w:ind w:left="0" w:right="0" w:firstLine="720"/>
        <w:jc w:val="both"/>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March 28, 2025, the Company and certain of its subsidiaries entered into amendments to the </w:t>
      </w:r>
      <w:r>
        <w:rPr>
          <w:rFonts w:ascii="Times New Roman;Times;serif" w:hAnsi="Times New Roman;Times;serif"/>
          <w:sz w:val="20"/>
        </w:rPr>
        <w:t>Management Agreement, the Safe Credit Facility (refer to Note 9) and the Margin Loan Facility (refer to Note 9). The foregoing description of certain terms of the Management Agreement reflects the amendment to the Management Agreement which increased the management fee payable in year four of the contract from $5.0 million to $7.5 million and increased the termination fee payable by the Company in certain circumstances from $50.0 million to $55.0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Governance Agreement</w:t>
      </w:r>
      <w:r>
        <w:rPr>
          <w:rFonts w:ascii="Times New Roman;Times;serif" w:hAnsi="Times New Roman;Times;serif"/>
          <w:sz w:val="20"/>
        </w:rPr>
        <w:t>—The Company and Safe entered into a governance agreement (the “Governance Agreement”) in order to establish various arrangements and restrictions with respect to the governance of the Company and certain rights and restrictions with respect to the Safe Shares owned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and its subsidiaries are prohibited from transferring at any time any Safe Shares held by the Company or its subsidiaries to any person who is known by the Company or its subsidiaries to be an “Activist” or “Company Competitor” (as such terms are defined in the Governance Agreement), or to any group that, to the knowledge of the Company or its subsidiaries, includes as “Activist” or “Company Competitor,” without first obtaining the Safe’s prior written consent.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a “restrictive period” which lasts until the earliest to occur of (i) the effective date on which Safe terminates the Management Agreement; or (ii) the date on which the Company beneficially own less than 7.5% of Safe’s outstanding common stock and Safe is no longer the Company’s external Manager; or (iii) a Change of Control of Safe (as defined in the Governance Agreement), the Company’s or its directly or indirectly wholly owned subsidiaries are required to vote the Safe Shares in accordance with the recommendations of the board of directors of Safe. The Company has irrevocably designated and appointed the board of directors of Safe as its sole and exclusive attorney-in-fact and proxy with full power of substitution and re-substitution to exercise the voting power of the Company’s shares of Safe in accordance with these requirements. The Company will also be subject to certain standstill agreements during the restrictive period. The terms of such standstill agreements will restrict the Company from making certain acquisitions of Safe securities, seeking representation on Safe’s board of directors, participating in the solicitation of proxies or written consents of Safe shareholders, and taking other actions which could seek to influence or result in a change of control of Safe or cause or require Safe to make certain public announcements, except as permitted by the governance agreement or with the prior written consent of the independent directors of the board of directors of Safe.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Registration Rights Agreement</w:t>
      </w:r>
      <w:r>
        <w:rPr>
          <w:rFonts w:ascii="Times New Roman;Times;serif" w:hAnsi="Times New Roman;Times;serif"/>
          <w:sz w:val="20"/>
        </w:rPr>
        <w:t>—Under the Registration Rights Agreement, Safe has agreed to (i) register Star Holdings' shares of Safe common stock and the other registrable securities for resale by filing and maintaining a shelf registration statement; (ii) file a registration statement covering Star Holdings' shares of Safe common stock and other registrable securities pursuant to the demand right and (iii) allow Star Holdings to piggyback on certain other registration statements filed by Safe. Star Holdings may use the registration rights to sell its shares of Safe common stock in underwritten offerings, block trades and other methods of distribution. Star Holdings will be subject to certain suspension and lockup obligations. Star Holdings' registration rights will end, among other times, when it owns less than 2% of Safe's outstanding common stock and is able to sell all of the shares of Safe common stock pursuant to Rule 144(b) without restriction.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Safe Credit Facility</w:t>
      </w:r>
      <w:r>
        <w:rPr>
          <w:rFonts w:ascii="Times New Roman;Times;serif" w:hAnsi="Times New Roman;Times;serif"/>
          <w:sz w:val="20"/>
        </w:rPr>
        <w:t>—Refer to Note 9 for additional information on the Safe Credit Facility</w:t>
      </w:r>
      <w:r>
        <w:rPr>
          <w:rFonts w:ascii="Times New Roman;Times;serif" w:hAnsi="Times New Roman;Times;serif"/>
          <w:i/>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bookmarkStart w:id="697" w:name="Tc_VyZgzkKySUih8wEgpC9TMg_6_5"/>
      <w:bookmarkStart w:id="698" w:name="Tc_tYeS6nfbI0OUeGSNVC8dQg_6_2"/>
      <w:bookmarkStart w:id="699" w:name="Tc_VhzVK9m82kyXYiCJdlrTig_6_0"/>
      <w:bookmarkStart w:id="700" w:name="Tc_V0L8JIOork2TVHJa2l1MTw_4_0"/>
      <w:bookmarkStart w:id="701" w:name="Tc_F2YeaCBrKkqIRNVeGfxeNg_3_5"/>
      <w:bookmarkStart w:id="702" w:name="Tc_ZggwOs-c00y0LMBueRr64Q_3_2"/>
      <w:bookmarkStart w:id="703" w:name="Tc_inwqnQNfCEKlgUrViZRtCQ_3_0"/>
      <w:bookmarkStart w:id="704" w:name="Tc_7XLC_-I_80m7jGldwO3IEQ_2_5"/>
      <w:bookmarkStart w:id="705" w:name="Tc_u3vaGSlPM0WVjMrk_eHfng_2_2"/>
      <w:bookmarkStart w:id="706" w:name="Tc_aHyPWQTQhU-U1oaBaW7oYQ_1_2"/>
      <w:bookmarkStart w:id="707" w:name="_c1d96e24_3d8e_49cd_85a0_2a3dc774cfa9"/>
      <w:bookmarkStart w:id="708" w:name="Tc_9UpRLlFm5kqjjC3Xt2ICFw_9_5"/>
      <w:bookmarkStart w:id="709" w:name="Tc_NzJAX-itMk-3cxUIL_emeA_9_2"/>
      <w:bookmarkStart w:id="710" w:name="Tc_33-5b3MmWUejunYZAEcK_Q_9_0"/>
      <w:bookmarkStart w:id="711" w:name="Tc_tWNXUti5E0uR-M-B0ILfLw_8_0"/>
      <w:bookmarkStart w:id="712" w:name="Tc_L_AU5C-gcESPfUfHwksXIw_7_0"/>
      <w:bookmarkStart w:id="713" w:name="Tc_QXJzhBi-AUCQ1syuie3A2g_6_0"/>
      <w:bookmarkStart w:id="714" w:name="Tc_YJaQfslS_ECyiUqTFo7Pig_5_0"/>
      <w:bookmarkStart w:id="715" w:name="Tc_abS7sjzFpEispiVTNIu88A_3_5"/>
      <w:bookmarkStart w:id="716" w:name="Tc_nLKi0uBns0abJdEd_fPiKA_3_2"/>
      <w:bookmarkStart w:id="717" w:name="Tc_m97PQCxEEEuxxOPiqTOa_w_3_0"/>
      <w:bookmarkStart w:id="718" w:name="Tc_CFVsGmeBy0iH941AhK2ZzA_2_5"/>
      <w:bookmarkStart w:id="719" w:name="Tc_BtwtiKYoI0Cb46ZiHrGKxQ_2_2"/>
      <w:bookmarkStart w:id="720" w:name="Tc_tjXGGpx_y0K8QiZHt0xgsA_1_2"/>
      <w:bookmarkStart w:id="721" w:name="_951fd797_bb32_4178_b8b4_a41bb9a8d129"/>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Pr>
          <w:rFonts w:ascii="Times New Roman;Times;serif" w:hAnsi="Times New Roman;Times;serif"/>
          <w:b/>
          <w:sz w:val="20"/>
        </w:rPr>
        <w:t>Note 8—Other Assets and Other Liabilities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Deferred expenses and other assets, net, consist of the following items ($ in thousands): </w:t>
      </w:r>
    </w:p>
    <w:tbl>
      <w:tblPr>
        <w:tblW w:w="6864" w:type="dxa"/>
        <w:jc w:val="left"/>
        <w:tblInd w:w="0" w:type="dxa"/>
        <w:tblLayout w:type="fixed"/>
        <w:tblCellMar>
          <w:top w:w="0" w:type="dxa"/>
          <w:left w:w="0" w:type="dxa"/>
          <w:bottom w:w="0" w:type="dxa"/>
          <w:right w:w="0" w:type="dxa"/>
        </w:tblCellMar>
      </w:tblPr>
      <w:tblGrid>
        <w:gridCol w:w="3256"/>
        <w:gridCol w:w="346"/>
        <w:gridCol w:w="299"/>
        <w:gridCol w:w="962"/>
        <w:gridCol w:w="346"/>
        <w:gridCol w:w="357"/>
        <w:gridCol w:w="1144"/>
        <w:gridCol w:w="154"/>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67560" cy="175260"/>
                      <wp:effectExtent l="0" t="0" r="0" b="0"/>
                      <wp:wrapNone/>
                      <wp:docPr id="154" name="Frame15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9865" cy="175260"/>
                      <wp:effectExtent l="0" t="0" r="0" b="0"/>
                      <wp:wrapNone/>
                      <wp:docPr id="156" name="Frame15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10870" cy="175260"/>
                      <wp:effectExtent l="0" t="0" r="0" b="0"/>
                      <wp:wrapNone/>
                      <wp:docPr id="157" name="Frame15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6695" cy="175260"/>
                      <wp:effectExtent l="0" t="0" r="0" b="0"/>
                      <wp:wrapNone/>
                      <wp:docPr id="159" name="Frame15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6440" cy="175260"/>
                      <wp:effectExtent l="0" t="0" r="0" b="0"/>
                      <wp:wrapNone/>
                      <wp:docPr id="160" name="Frame16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7790" cy="175260"/>
                      <wp:effectExtent l="0" t="0" r="0" b="0"/>
                      <wp:wrapNone/>
                      <wp:docPr id="161" name="Frame1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1"/>
              <w:ind w:left="0" w:right="0" w:hanging="0"/>
              <w:jc w:val="center"/>
              <w:rPr/>
            </w:pPr>
            <w:r>
              <w:rPr/>
              <w:t>​</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assets</w:t>
            </w:r>
            <w:r>
              <w:rPr>
                <w:rFonts w:ascii="Times New Roman;Times;serif" w:hAnsi="Times New Roman;Times;serif"/>
                <w:b w:val="false"/>
                <w:i w:val="false"/>
                <w:caps w:val="false"/>
                <w:smallCaps w:val="false"/>
                <w:sz w:val="15"/>
              </w:rPr>
              <w:t>(2)</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15,681</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24,476</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26,774</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As of March 31, 2026 and December 31, 2025, other assets primarily includes prepaid expenses and dividends receivable from Safe.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Right-of use lease assets initially equal the lease liability. For operating leases, rent expense is recognized on a straight-line basis over the term of the lease and is recorded in “Real estate expense” in the Company’s consolidated statements of operations. During the three months ended March 31, 2026 and 2025, the Company recognized $0.1</w:t>
            </w:r>
            <w:r>
              <w:rPr>
                <w:caps w:val="false"/>
                <w:smallCaps w:val="false"/>
              </w:rPr>
              <w:t> </w:t>
            </w:r>
            <w:r>
              <w:rPr>
                <w:rFonts w:ascii="Times New Roman;Times;serif" w:hAnsi="Times New Roman;Times;serif"/>
                <w:b w:val="false"/>
                <w:i w:val="false"/>
                <w:caps w:val="false"/>
                <w:smallCaps w:val="false"/>
                <w:sz w:val="16"/>
              </w:rPr>
              <w:t>million and $0.1</w:t>
            </w:r>
            <w:r>
              <w:rPr>
                <w:caps w:val="false"/>
                <w:smallCaps w:val="false"/>
              </w:rPr>
              <w:t> </w:t>
            </w:r>
            <w:r>
              <w:rPr>
                <w:rFonts w:ascii="Times New Roman;Times;serif" w:hAnsi="Times New Roman;Times;serif"/>
                <w:b w:val="false"/>
                <w:i w:val="false"/>
                <w:caps w:val="false"/>
                <w:smallCaps w:val="false"/>
                <w:sz w:val="16"/>
              </w:rPr>
              <w:t>million, respectively, in “Real estate expense” in its consolidated statements of operations relating to operating leases.</w:t>
            </w:r>
          </w:p>
        </w:tc>
      </w:tr>
    </w:tbl>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7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Accumulated amortization of leasing costs was $0.2</w:t>
            </w:r>
            <w:r>
              <w:rPr>
                <w:caps w:val="false"/>
                <w:smallCaps w:val="false"/>
              </w:rPr>
              <w:t> </w:t>
            </w:r>
            <w:r>
              <w:rPr>
                <w:rFonts w:ascii="Times New Roman;Times;serif" w:hAnsi="Times New Roman;Times;serif"/>
                <w:b w:val="false"/>
                <w:i w:val="false"/>
                <w:caps w:val="false"/>
                <w:smallCaps w:val="false"/>
                <w:sz w:val="16"/>
              </w:rPr>
              <w:t>million and $0.2</w:t>
            </w:r>
            <w:r>
              <w:rPr>
                <w:caps w:val="false"/>
                <w:smallCaps w:val="false"/>
              </w:rPr>
              <w:t> </w:t>
            </w:r>
            <w:r>
              <w:rPr>
                <w:rFonts w:ascii="Times New Roman;Times;serif" w:hAnsi="Times New Roman;Times;serif"/>
                <w:b w:val="false"/>
                <w:i w:val="false"/>
                <w:caps w:val="false"/>
                <w:smallCaps w:val="false"/>
                <w:sz w:val="16"/>
              </w:rPr>
              <w:t xml:space="preserve">million as of March 31, 2026 and December 31, 2025, respectively.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Intangible assets, net includes above market and in-place lease assets related to the acquisition of real estate assets. Accumulated amortization on intangible assets, net was $0.2</w:t>
            </w:r>
            <w:r>
              <w:rPr>
                <w:caps w:val="false"/>
                <w:smallCaps w:val="false"/>
              </w:rPr>
              <w:t> </w:t>
            </w:r>
            <w:r>
              <w:rPr>
                <w:rFonts w:ascii="Times New Roman;Times;serif" w:hAnsi="Times New Roman;Times;serif"/>
                <w:b w:val="false"/>
                <w:i w:val="false"/>
                <w:caps w:val="false"/>
                <w:smallCaps w:val="false"/>
                <w:sz w:val="16"/>
              </w:rPr>
              <w:t>million and $0.2</w:t>
            </w:r>
            <w:r>
              <w:rPr>
                <w:caps w:val="false"/>
                <w:smallCaps w:val="false"/>
              </w:rPr>
              <w:t> </w:t>
            </w:r>
            <w:r>
              <w:rPr>
                <w:rFonts w:ascii="Times New Roman;Times;serif" w:hAnsi="Times New Roman;Times;serif"/>
                <w:b w:val="false"/>
                <w:i w:val="false"/>
                <w:caps w:val="false"/>
                <w:smallCaps w:val="false"/>
                <w:sz w:val="16"/>
              </w:rPr>
              <w:t>million as of March 31, 2026 and December 31, 2025, respectively. These intangible lease assets are amortized over the remaining term of the lease. As of March 31, 2026, the weighted average remaining amortization period for the Company’s intangible assets was approximately 1.1</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Accounts payable, accrued expenses and other liabilities consist of the following items ($ in thousands):</w:t>
      </w:r>
    </w:p>
    <w:tbl>
      <w:tblPr>
        <w:tblW w:w="8319" w:type="dxa"/>
        <w:jc w:val="left"/>
        <w:tblInd w:w="0" w:type="dxa"/>
        <w:tblLayout w:type="fixed"/>
        <w:tblCellMar>
          <w:top w:w="0" w:type="dxa"/>
          <w:left w:w="0" w:type="dxa"/>
          <w:bottom w:w="0" w:type="dxa"/>
          <w:right w:w="0" w:type="dxa"/>
        </w:tblCellMar>
      </w:tblPr>
      <w:tblGrid>
        <w:gridCol w:w="4711"/>
        <w:gridCol w:w="346"/>
        <w:gridCol w:w="299"/>
        <w:gridCol w:w="962"/>
        <w:gridCol w:w="346"/>
        <w:gridCol w:w="357"/>
        <w:gridCol w:w="1144"/>
        <w:gridCol w:w="15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991485" cy="175260"/>
                      <wp:effectExtent l="0" t="0" r="0" b="0"/>
                      <wp:wrapNone/>
                      <wp:docPr id="162" name="Frame162"/>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9865" cy="175260"/>
                      <wp:effectExtent l="0" t="0" r="0" b="0"/>
                      <wp:wrapNone/>
                      <wp:docPr id="164" name="Frame16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10870" cy="175260"/>
                      <wp:effectExtent l="0" t="0" r="0" b="0"/>
                      <wp:wrapNone/>
                      <wp:docPr id="165" name="Frame16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6695" cy="175260"/>
                      <wp:effectExtent l="0" t="0" r="0" b="0"/>
                      <wp:wrapNone/>
                      <wp:docPr id="167" name="Frame16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26440" cy="175260"/>
                      <wp:effectExtent l="0" t="0" r="0" b="0"/>
                      <wp:wrapNone/>
                      <wp:docPr id="168" name="Frame168"/>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7790" cy="175260"/>
                      <wp:effectExtent l="0" t="0" r="0" b="0"/>
                      <wp:wrapNone/>
                      <wp:docPr id="169" name="Frame1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1"/>
              <w:ind w:left="0" w:right="0" w:hanging="0"/>
              <w:jc w:val="center"/>
              <w:rPr/>
            </w:pPr>
            <w:r>
              <w:rPr/>
              <w:t>​</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27,918</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4,766</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6,676</w:t>
            </w:r>
          </w:p>
        </w:tc>
        <w:tc>
          <w:tcPr>
            <w:tcW w:w="154"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(see table above)</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33,201</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35,610</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As of March 31, 2026, “Other liabilities” includes $20.0</w:t>
            </w:r>
            <w:r>
              <w:rPr>
                <w:caps w:val="false"/>
                <w:smallCaps w:val="false"/>
                <w:spacing w:val="4"/>
              </w:rPr>
              <w:t> </w:t>
            </w:r>
            <w:r>
              <w:rPr>
                <w:rFonts w:ascii="Times New Roman;Times;serif" w:hAnsi="Times New Roman;Times;serif"/>
                <w:b w:val="false"/>
                <w:i w:val="false"/>
                <w:caps w:val="false"/>
                <w:smallCaps w:val="false"/>
                <w:spacing w:val="4"/>
                <w:sz w:val="16"/>
              </w:rPr>
              <w:t>million of deferred income and liabilities, $3.6</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management fees and other payables due Safe and $3.0</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other payables related to real estate properties. As of December 31, 2025, “Other liabilities” includes $20.7</w:t>
            </w:r>
            <w:r>
              <w:rPr>
                <w:caps w:val="false"/>
                <w:smallCaps w:val="false"/>
                <w:spacing w:val="4"/>
              </w:rPr>
              <w:t> </w:t>
            </w:r>
            <w:r>
              <w:rPr>
                <w:rFonts w:ascii="Times New Roman;Times;serif" w:hAnsi="Times New Roman;Times;serif"/>
                <w:b w:val="false"/>
                <w:i w:val="false"/>
                <w:caps w:val="false"/>
                <w:smallCaps w:val="false"/>
                <w:spacing w:val="4"/>
                <w:sz w:val="16"/>
              </w:rPr>
              <w:t>million of deferred income and liabilities, $3.6</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management fees due Safe and $2.8</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other payables related to real estate properties.</w:t>
            </w:r>
            <w:r>
              <w:rPr>
                <w:caps w:val="false"/>
                <w:smallCaps w:val="false"/>
                <w:spacing w:val="4"/>
              </w:rPr>
              <w:t xml:space="preserve"> </w:t>
            </w:r>
          </w:p>
        </w:tc>
      </w:tr>
    </w:tbl>
    <w:p>
      <w:pPr>
        <w:pStyle w:val="TextBody"/>
        <w:bidi w:val="0"/>
        <w:spacing w:before="0" w:after="0"/>
        <w:ind w:left="0" w:right="0" w:hanging="0"/>
        <w:jc w:val="left"/>
        <w:rPr/>
      </w:pPr>
      <w:r>
        <w:rPr/>
        <w:t>​</w:t>
      </w:r>
    </w:p>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bookmarkStart w:id="722" w:name="Tc_yHRi3nqCq0-IF1-Y2D3GGQ_9_2"/>
      <w:bookmarkStart w:id="723" w:name="Tc_epDwAW0ZaUiTOi4AsXA9AA_9_0"/>
      <w:bookmarkStart w:id="724" w:name="Tc_KOs4tK9aTk2E0FpyLez9Ag_8_0"/>
      <w:bookmarkStart w:id="725" w:name="Tc_ATU7h-Ix50uAxk2BvsJhnQ_7_0"/>
      <w:bookmarkStart w:id="726" w:name="Tc_gBLrDs9jYU-aD1icb6IBQA_6_3"/>
      <w:bookmarkStart w:id="727" w:name="Tc_Vsyi3W4OdEyWgLh8lyyveg_6_0"/>
      <w:bookmarkStart w:id="728" w:name="Tc_aOZ_11cp-keQDVAqcAGD0Q_5_3"/>
      <w:bookmarkStart w:id="729" w:name="Tc_IWDafSjVfUu4TgmAic5OZA_5_0"/>
      <w:bookmarkStart w:id="730" w:name="Tc_VplzDcULB0C7-b4ZwDGabQ_4_3"/>
      <w:bookmarkStart w:id="731" w:name="Tc_kPR0U1iepkOzCs9wHbPhCw_4_0"/>
      <w:bookmarkStart w:id="732" w:name="Tc_sqVYPE1bHUafhiitRuV4JA_3_0"/>
      <w:bookmarkStart w:id="733" w:name="Tc_YmjctpGg2U6mntDHvjfN3Q_2_3"/>
      <w:bookmarkStart w:id="734" w:name="Tc_sacVlkQsFUyajCTqrW-naw_2_0"/>
      <w:bookmarkStart w:id="735" w:name="Tc_MinLutdQMEG_YU6PiTiPyg_1_3"/>
      <w:bookmarkStart w:id="736" w:name="Tc_N2tOHtB4k0iT_aPqY0hkag_1_2"/>
      <w:bookmarkStart w:id="737" w:name="Tc_uDNmpClvTkSoxvByD4k5tg_1_0"/>
      <w:bookmarkStart w:id="738" w:name="_21ec7e23_0638_475a_a8e3_5d025aaf5d59"/>
      <w:bookmarkStart w:id="739" w:name="Tc_mkS0H31yzUKvWZHAuurOoA_9_5"/>
      <w:bookmarkStart w:id="740" w:name="Tc_-KZF9t5QXEmG9GIeYDiHZA_9_2"/>
      <w:bookmarkStart w:id="741" w:name="Tc_XpAwWudJGka96FX8PXawoQ_9_0"/>
      <w:bookmarkStart w:id="742" w:name="Tc_lRbafZ4vJEe2h4RmUI-e2g_8_0"/>
      <w:bookmarkStart w:id="743" w:name="Tc_GVrOdLmRsEm0Mv_ztertaw_7_0"/>
      <w:bookmarkStart w:id="744" w:name="Tc_CFm99Ocwd0qOt0Hj5x9kcg_6_10"/>
      <w:bookmarkStart w:id="745" w:name="Tc_nHftkVn2C0KQ6cBrJ0yE0g_6_8"/>
      <w:bookmarkStart w:id="746" w:name="Tc_7HB04EBORkifkgEBq6Efbg_6_3"/>
      <w:bookmarkStart w:id="747" w:name="Tc_DoILfhAXDUKWAaY7bwnYTw_6_0"/>
      <w:bookmarkStart w:id="748" w:name="Tc_Kf5ltCCfFkKYc5kjCkqA1Q_5_10"/>
      <w:bookmarkStart w:id="749" w:name="Tc_foKDPl7nx0WlCzPSPJyDlA_5_9"/>
      <w:bookmarkStart w:id="750" w:name="Tc_nGlXrDaUXEqJ3bfD3OaRJg_5_8"/>
      <w:bookmarkStart w:id="751" w:name="Tc__jS7k8cEmkyPYjszlD3e8g_5_0"/>
      <w:bookmarkStart w:id="752" w:name="Tc_7xz3yCr8S0iVlYNsND7b9Q_4_10"/>
      <w:bookmarkStart w:id="753" w:name="Tc_diITAvCAqUGMn-1MSJy-qg_4_9"/>
      <w:bookmarkStart w:id="754" w:name="Tc_B4S8yXfTpUKQy2MPV4SQOQ_4_5"/>
      <w:bookmarkStart w:id="755" w:name="Tc_UJC47ghXqEKgxzfMEORpDw_4_2"/>
      <w:bookmarkStart w:id="756" w:name="Tc_CJ_Ss8p_U0SHxZwSa_8obQ_4_0"/>
      <w:bookmarkStart w:id="757" w:name="Tc_9_e32lHmNkurfNAWFuPLaw_3_0"/>
      <w:bookmarkStart w:id="758" w:name="Tc_Wq-BorMTE0OrgnXIwXqcPQ_2_10"/>
      <w:bookmarkStart w:id="759" w:name="Tc_5YaEyMPxbkKA9pmJyfyV9A_2_8"/>
      <w:bookmarkStart w:id="760" w:name="Tc_J-1DdxFeNkuGXIgcO6lZRg_2_5"/>
      <w:bookmarkStart w:id="761" w:name="Tc_z84vPeWsZEeK_xQOA3hk3Q_2_2"/>
      <w:bookmarkStart w:id="762" w:name="Tc_NgXdVZj11kWCaldToM1cZg_1_10"/>
      <w:bookmarkStart w:id="763" w:name="Tc_aA432HBLBEW-vw75BZnWiQ_1_8"/>
      <w:bookmarkStart w:id="764" w:name="Tc_nTkLaIUwR0GsVibqPrWjWQ_1_2"/>
      <w:bookmarkStart w:id="765" w:name="_ab5b1f0f_1368_497f_be10_0aaf60f2232b"/>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Fonts w:ascii="Times New Roman;Times;serif" w:hAnsi="Times New Roman;Times;serif"/>
          <w:b/>
          <w:sz w:val="20"/>
        </w:rPr>
        <w:t>Note 9—Debt Obligations,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debt obligations were as follows ($ in thousands):</w:t>
      </w:r>
    </w:p>
    <w:tbl>
      <w:tblPr>
        <w:tblW w:w="10205" w:type="dxa"/>
        <w:jc w:val="left"/>
        <w:tblInd w:w="0" w:type="dxa"/>
        <w:tblLayout w:type="fixed"/>
        <w:tblCellMar>
          <w:top w:w="0" w:type="dxa"/>
          <w:left w:w="0" w:type="dxa"/>
          <w:bottom w:w="0" w:type="dxa"/>
          <w:right w:w="0" w:type="dxa"/>
        </w:tblCellMar>
      </w:tblPr>
      <w:tblGrid>
        <w:gridCol w:w="2983"/>
        <w:gridCol w:w="346"/>
        <w:gridCol w:w="268"/>
        <w:gridCol w:w="993"/>
        <w:gridCol w:w="346"/>
        <w:gridCol w:w="319"/>
        <w:gridCol w:w="1182"/>
        <w:gridCol w:w="346"/>
        <w:gridCol w:w="1283"/>
        <w:gridCol w:w="826"/>
        <w:gridCol w:w="1313"/>
      </w:tblGrid>
      <w:tr>
        <w:trPr/>
        <w:tc>
          <w:tcPr>
            <w:tcW w:w="2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94205" cy="175260"/>
                      <wp:effectExtent l="0" t="0" r="0" b="0"/>
                      <wp:wrapNone/>
                      <wp:docPr id="170" name="Frame170"/>
                      <a:graphic xmlns:a="http://schemas.openxmlformats.org/drawingml/2006/main">
                        <a:graphicData uri="http://schemas.microsoft.com/office/word/2010/wordprocessingShape">
                          <wps:wsp>
                            <wps:cNvSpPr txBox="1"/>
                            <wps:spPr>
                              <a:xfrm>
                                <a:off x="0" y="0"/>
                                <a:ext cx="189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0180" cy="175260"/>
                      <wp:effectExtent l="0" t="0" r="0" b="0"/>
                      <wp:wrapNone/>
                      <wp:docPr id="172" name="Frame17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30555" cy="175260"/>
                      <wp:effectExtent l="0" t="0" r="0" b="0"/>
                      <wp:wrapNone/>
                      <wp:docPr id="173" name="Frame17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2565" cy="175260"/>
                      <wp:effectExtent l="0" t="0" r="0" b="0"/>
                      <wp:wrapNone/>
                      <wp:docPr id="175" name="Frame17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50570" cy="175260"/>
                      <wp:effectExtent l="0" t="0" r="0" b="0"/>
                      <wp:wrapNone/>
                      <wp:docPr id="176" name="Frame17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14705" cy="175260"/>
                      <wp:effectExtent l="0" t="0" r="0" b="0"/>
                      <wp:wrapNone/>
                      <wp:docPr id="178" name="Frame178"/>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4510" cy="175260"/>
                      <wp:effectExtent l="0" t="0" r="0" b="0"/>
                      <wp:wrapNone/>
                      <wp:docPr id="179" name="Frame1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33755" cy="175260"/>
                      <wp:effectExtent l="0" t="0" r="0" b="0"/>
                      <wp:wrapNone/>
                      <wp:docPr id="180" name="Frame180"/>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 as of </w:t>
            </w:r>
          </w:p>
        </w:tc>
        <w:tc>
          <w:tcPr>
            <w:tcW w:w="346" w:type="dxa"/>
            <w:tcBorders/>
            <w:vAlign w:val="center"/>
          </w:tcPr>
          <w:p>
            <w:pPr>
              <w:pStyle w:val="TableContents"/>
              <w:bidi w:val="0"/>
              <w:spacing w:before="0" w:after="1"/>
              <w:ind w:left="0" w:right="0" w:hanging="0"/>
              <w:jc w:val="center"/>
              <w:rPr/>
            </w:pPr>
            <w:r>
              <w:rPr/>
              <w:t>​</w:t>
            </w:r>
          </w:p>
        </w:tc>
        <w:tc>
          <w:tcPr>
            <w:tcW w:w="128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Stated</w:t>
            </w:r>
            <w:r>
              <w:rPr>
                <w:rFonts w:ascii="Times New Roman;Times;serif" w:hAnsi="Times New Roman;Times;serif"/>
                <w:sz w:val="16"/>
              </w:rPr>
              <w:t> </w:t>
            </w:r>
          </w:p>
        </w:tc>
        <w:tc>
          <w:tcPr>
            <w:tcW w:w="826" w:type="dxa"/>
            <w:tcBorders/>
            <w:vAlign w:val="center"/>
          </w:tcPr>
          <w:p>
            <w:pPr>
              <w:pStyle w:val="TableContents"/>
              <w:bidi w:val="0"/>
              <w:spacing w:before="0" w:after="1"/>
              <w:ind w:left="0" w:right="0" w:hanging="0"/>
              <w:jc w:val="left"/>
              <w:rPr/>
            </w:pPr>
            <w:r>
              <w:rPr/>
              <w:t>​</w:t>
            </w:r>
          </w:p>
        </w:tc>
        <w:tc>
          <w:tcPr>
            <w:tcW w:w="131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Scheduled</w:t>
            </w:r>
            <w:r>
              <w:rPr>
                <w:rFonts w:ascii="Times New Roman;Times;serif" w:hAnsi="Times New Roman;Times;serif"/>
                <w:sz w:val="16"/>
              </w:rPr>
              <w:t> </w:t>
            </w:r>
          </w:p>
        </w:tc>
      </w:tr>
      <w:tr>
        <w:trPr/>
        <w:tc>
          <w:tcPr>
            <w:tcW w:w="29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2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Rates</w:t>
            </w:r>
          </w:p>
        </w:tc>
        <w:tc>
          <w:tcPr>
            <w:tcW w:w="826" w:type="dxa"/>
            <w:tcBorders/>
            <w:vAlign w:val="center"/>
          </w:tcPr>
          <w:p>
            <w:pPr>
              <w:pStyle w:val="TableContents"/>
              <w:bidi w:val="0"/>
              <w:spacing w:before="0" w:after="1"/>
              <w:ind w:left="0" w:right="0" w:hanging="0"/>
              <w:jc w:val="center"/>
              <w:rPr/>
            </w:pPr>
            <w:r>
              <w:rPr/>
              <w:t>  ​ ​ ​ ​ ​ ​ ​ ​ ​ ​ ​</w:t>
            </w:r>
          </w:p>
        </w:tc>
        <w:tc>
          <w:tcPr>
            <w:tcW w:w="1313"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(1)</w:t>
            </w:r>
          </w:p>
        </w:tc>
      </w:tr>
      <w:tr>
        <w:trPr/>
        <w:tc>
          <w:tcPr>
            <w:tcW w:w="29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Debt obligations:</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283"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3" w:type="dxa"/>
            <w:tcBorders/>
            <w:shd w:fill="CCEEFF" w:val="clear"/>
            <w:vAlign w:val="center"/>
          </w:tcPr>
          <w:p>
            <w:pPr>
              <w:pStyle w:val="TableContents"/>
              <w:bidi w:val="0"/>
              <w:spacing w:before="0" w:after="1"/>
              <w:ind w:left="0" w:right="0" w:hanging="0"/>
              <w:jc w:val="right"/>
              <w:rPr/>
            </w:pPr>
            <w:r>
              <w:rPr/>
              <w:t>  ​</w:t>
            </w:r>
          </w:p>
        </w:tc>
      </w:tr>
      <w:tr>
        <w:trPr/>
        <w:tc>
          <w:tcPr>
            <w:tcW w:w="29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Safe Credit Facility</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vAlign w:val="center"/>
          </w:tcPr>
          <w:p>
            <w:pPr>
              <w:pStyle w:val="TableContents"/>
              <w:bidi w:val="0"/>
              <w:spacing w:before="0" w:after="1"/>
              <w:ind w:left="0" w:right="0" w:hanging="0"/>
              <w:jc w:val="left"/>
              <w:rPr/>
            </w:pPr>
            <w:r>
              <w:rPr/>
              <w:t>​</w:t>
            </w:r>
          </w:p>
        </w:tc>
        <w:tc>
          <w:tcPr>
            <w:tcW w:w="128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8.00</w:t>
            </w:r>
          </w:p>
        </w:tc>
        <w:tc>
          <w:tcPr>
            <w:tcW w:w="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298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Margin Loan Facility</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92,777</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91,087</w:t>
            </w:r>
          </w:p>
        </w:tc>
        <w:tc>
          <w:tcPr>
            <w:tcW w:w="346" w:type="dxa"/>
            <w:tcBorders/>
            <w:shd w:fill="CCEEFF" w:val="clear"/>
            <w:vAlign w:val="center"/>
          </w:tcPr>
          <w:p>
            <w:pPr>
              <w:pStyle w:val="TableContents"/>
              <w:bidi w:val="0"/>
              <w:spacing w:before="0" w:after="1"/>
              <w:ind w:left="0" w:right="0" w:hanging="0"/>
              <w:jc w:val="left"/>
              <w:rPr/>
            </w:pPr>
            <w:r>
              <w:rPr/>
              <w:t>​</w:t>
            </w:r>
          </w:p>
        </w:tc>
        <w:tc>
          <w:tcPr>
            <w:tcW w:w="128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SOFR plus 3.50</w:t>
            </w:r>
          </w:p>
        </w:tc>
        <w:tc>
          <w:tcPr>
            <w:tcW w:w="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2983"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Senior Construction Mortgage Loan</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64,270</w:t>
            </w:r>
          </w:p>
        </w:tc>
        <w:tc>
          <w:tcPr>
            <w:tcW w:w="346" w:type="dxa"/>
            <w:tcBorders/>
            <w:vAlign w:val="center"/>
          </w:tcPr>
          <w:p>
            <w:pPr>
              <w:pStyle w:val="TableContents"/>
              <w:bidi w:val="0"/>
              <w:spacing w:before="0" w:after="1"/>
              <w:ind w:left="0" w:right="0" w:hanging="0"/>
              <w:jc w:val="left"/>
              <w:rPr/>
            </w:pPr>
            <w:r>
              <w:rPr/>
              <w:t>​</w:t>
            </w:r>
          </w:p>
        </w:tc>
        <w:tc>
          <w:tcPr>
            <w:tcW w:w="1283"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left"/>
              <w:rPr/>
            </w:pPr>
            <w:r>
              <w:rPr/>
              <w:t>​</w:t>
            </w:r>
          </w:p>
        </w:tc>
        <w:tc>
          <w:tcPr>
            <w:tcW w:w="1313" w:type="dxa"/>
            <w:tcBorders/>
            <w:vAlign w:val="center"/>
          </w:tcPr>
          <w:p>
            <w:pPr>
              <w:pStyle w:val="TableContents"/>
              <w:bidi w:val="0"/>
              <w:spacing w:before="0" w:after="1"/>
              <w:ind w:left="0" w:right="0" w:hanging="0"/>
              <w:jc w:val="center"/>
              <w:rPr/>
            </w:pPr>
            <w:r>
              <w:rPr/>
              <w:t>—</w:t>
            </w:r>
          </w:p>
        </w:tc>
      </w:tr>
      <w:tr>
        <w:trPr/>
        <w:tc>
          <w:tcPr>
            <w:tcW w:w="29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207,777</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270,357</w:t>
            </w:r>
          </w:p>
        </w:tc>
        <w:tc>
          <w:tcPr>
            <w:tcW w:w="346" w:type="dxa"/>
            <w:tcBorders/>
            <w:shd w:fill="CCEEFF" w:val="clear"/>
            <w:vAlign w:val="center"/>
          </w:tcPr>
          <w:p>
            <w:pPr>
              <w:pStyle w:val="TableContents"/>
              <w:bidi w:val="0"/>
              <w:spacing w:before="0" w:after="1"/>
              <w:ind w:left="0" w:right="0" w:hanging="0"/>
              <w:jc w:val="left"/>
              <w:rPr/>
            </w:pPr>
            <w:r>
              <w:rPr/>
              <w:t>​</w:t>
            </w:r>
          </w:p>
        </w:tc>
        <w:tc>
          <w:tcPr>
            <w:tcW w:w="1283"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3" w:type="dxa"/>
            <w:tcBorders/>
            <w:shd w:fill="CCEEFF" w:val="clear"/>
            <w:vAlign w:val="center"/>
          </w:tcPr>
          <w:p>
            <w:pPr>
              <w:pStyle w:val="TableContents"/>
              <w:bidi w:val="0"/>
              <w:spacing w:before="0" w:after="1"/>
              <w:ind w:left="0" w:right="0" w:hanging="0"/>
              <w:jc w:val="center"/>
              <w:rPr/>
            </w:pPr>
            <w:r>
              <w:rPr/>
              <w:t>  ​</w:t>
            </w:r>
          </w:p>
        </w:tc>
      </w:tr>
      <w:tr>
        <w:trPr/>
        <w:tc>
          <w:tcPr>
            <w:tcW w:w="29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discounts and deferred financing costs, net</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vAlign w:val="center"/>
          </w:tcPr>
          <w:p>
            <w:pPr>
              <w:pStyle w:val="TableContents"/>
              <w:bidi w:val="0"/>
              <w:spacing w:before="0" w:after="1"/>
              <w:ind w:left="0" w:right="0" w:hanging="0"/>
              <w:jc w:val="left"/>
              <w:rPr/>
            </w:pPr>
            <w:r>
              <w:rPr/>
              <w:t>​</w:t>
            </w:r>
          </w:p>
        </w:tc>
        <w:tc>
          <w:tcPr>
            <w:tcW w:w="1283" w:type="dxa"/>
            <w:tcBorders/>
            <w:vAlign w:val="center"/>
          </w:tcPr>
          <w:p>
            <w:pPr>
              <w:pStyle w:val="TableContents"/>
              <w:bidi w:val="0"/>
              <w:spacing w:before="0" w:after="1"/>
              <w:ind w:left="0" w:right="0" w:hanging="0"/>
              <w:jc w:val="right"/>
              <w:rPr/>
            </w:pPr>
            <w:r>
              <w:rPr/>
              <w:t>  ​</w:t>
            </w:r>
          </w:p>
        </w:tc>
        <w:tc>
          <w:tcPr>
            <w:tcW w:w="826" w:type="dxa"/>
            <w:tcBorders/>
            <w:vAlign w:val="center"/>
          </w:tcPr>
          <w:p>
            <w:pPr>
              <w:pStyle w:val="TableContents"/>
              <w:bidi w:val="0"/>
              <w:spacing w:before="0" w:after="1"/>
              <w:ind w:left="0" w:right="0" w:hanging="0"/>
              <w:jc w:val="left"/>
              <w:rPr/>
            </w:pPr>
            <w:r>
              <w:rPr/>
              <w:t> </w:t>
            </w:r>
          </w:p>
        </w:tc>
        <w:tc>
          <w:tcPr>
            <w:tcW w:w="1313" w:type="dxa"/>
            <w:tcBorders/>
            <w:vAlign w:val="center"/>
          </w:tcPr>
          <w:p>
            <w:pPr>
              <w:pStyle w:val="TableContents"/>
              <w:bidi w:val="0"/>
              <w:spacing w:before="0" w:after="1"/>
              <w:ind w:left="0" w:right="0" w:hanging="0"/>
              <w:jc w:val="right"/>
              <w:rPr/>
            </w:pPr>
            <w:r>
              <w:rPr/>
              <w:t>  ​</w:t>
            </w:r>
          </w:p>
        </w:tc>
      </w:tr>
      <w:tr>
        <w:trPr/>
        <w:tc>
          <w:tcPr>
            <w:tcW w:w="298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Total debt obligations, net</w:t>
            </w:r>
            <w:r>
              <w:rPr>
                <w:rFonts w:ascii="Times New Roman;Times;serif" w:hAnsi="Times New Roman;Times;serif"/>
                <w:b/>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207,001</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268,721</w:t>
            </w:r>
          </w:p>
        </w:tc>
        <w:tc>
          <w:tcPr>
            <w:tcW w:w="346" w:type="dxa"/>
            <w:tcBorders/>
            <w:shd w:fill="CCEEFF" w:val="clear"/>
            <w:vAlign w:val="center"/>
          </w:tcPr>
          <w:p>
            <w:pPr>
              <w:pStyle w:val="TableContents"/>
              <w:bidi w:val="0"/>
              <w:spacing w:before="0" w:after="1"/>
              <w:ind w:left="0" w:right="0" w:hanging="0"/>
              <w:jc w:val="left"/>
              <w:rPr/>
            </w:pPr>
            <w:r>
              <w:rPr/>
              <w:t>​</w:t>
            </w:r>
          </w:p>
        </w:tc>
        <w:tc>
          <w:tcPr>
            <w:tcW w:w="1283"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3" w:type="dxa"/>
            <w:tcBorders/>
            <w:shd w:fill="CCEEFF" w:val="clear"/>
            <w:vAlign w:val="center"/>
          </w:tcPr>
          <w:p>
            <w:pPr>
              <w:pStyle w:val="TableContents"/>
              <w:bidi w:val="0"/>
              <w:spacing w:before="0" w:after="1"/>
              <w:ind w:left="0" w:right="0" w:hanging="0"/>
              <w:jc w:val="right"/>
              <w:rPr/>
            </w:pPr>
            <w:r>
              <w:rPr/>
              <w:t>  ​</w:t>
            </w:r>
          </w:p>
        </w:tc>
      </w:tr>
    </w:tbl>
    <w:tbl>
      <w:tblPr>
        <w:tblW w:w="3152" w:type="dxa"/>
        <w:jc w:val="left"/>
        <w:tblInd w:w="0" w:type="dxa"/>
        <w:tblLayout w:type="fixed"/>
        <w:tblCellMar>
          <w:top w:w="0" w:type="dxa"/>
          <w:left w:w="0" w:type="dxa"/>
          <w:bottom w:w="0" w:type="dxa"/>
          <w:right w:w="0" w:type="dxa"/>
        </w:tblCellMar>
      </w:tblPr>
      <w:tblGrid>
        <w:gridCol w:w="331"/>
        <w:gridCol w:w="28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8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16"/>
              </w:rPr>
            </w:pPr>
            <w:r>
              <w:rPr>
                <w:rFonts w:ascii="Times New Roman;Times;serif" w:hAnsi="Times New Roman;Times;serif"/>
                <w:b w:val="false"/>
                <w:i w:val="false"/>
                <w:caps w:val="false"/>
                <w:smallCaps w:val="false"/>
                <w:color w:val="212529"/>
                <w:sz w:val="16"/>
              </w:rPr>
              <w:t>Represents the extended maturity date.</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The Company has the option to pay interest in kind (“PIK”) on its quarterly interest payments and such PIK is added to the principal balance on the Margin Loan Facility. The applicable margin on the Margin Loan Facility increases by 25</w:t>
            </w:r>
            <w:r>
              <w:rPr>
                <w:caps w:val="false"/>
                <w:smallCaps w:val="false"/>
                <w:spacing w:val="4"/>
              </w:rPr>
              <w:t> </w:t>
            </w:r>
            <w:r>
              <w:rPr>
                <w:rFonts w:ascii="Times New Roman;Times;serif" w:hAnsi="Times New Roman;Times;serif"/>
                <w:b w:val="false"/>
                <w:i w:val="false"/>
                <w:caps w:val="false"/>
                <w:smallCaps w:val="false"/>
                <w:spacing w:val="4"/>
                <w:sz w:val="16"/>
              </w:rPr>
              <w:t>basis points </w:t>
            </w:r>
            <w:r>
              <w:rPr>
                <w:rFonts w:ascii="Times New Roman;Times;serif" w:hAnsi="Times New Roman;Times;serif"/>
                <w:b w:val="false"/>
                <w:i w:val="false"/>
                <w:caps w:val="false"/>
                <w:smallCaps w:val="false"/>
                <w:sz w:val="16"/>
              </w:rPr>
              <w:t>for the entirety of the interest period immediately succeeding any interest period with respect to which the Company makes a PIK election.</w:t>
            </w:r>
          </w:p>
        </w:tc>
      </w:tr>
    </w:tbl>
    <w:tbl>
      <w:tblPr>
        <w:tblW w:w="1592" w:type="dxa"/>
        <w:jc w:val="left"/>
        <w:tblInd w:w="0" w:type="dxa"/>
        <w:tblLayout w:type="fixed"/>
        <w:tblCellMar>
          <w:top w:w="0" w:type="dxa"/>
          <w:left w:w="0" w:type="dxa"/>
          <w:bottom w:w="0" w:type="dxa"/>
          <w:right w:w="0" w:type="dxa"/>
        </w:tblCellMar>
      </w:tblPr>
      <w:tblGrid>
        <w:gridCol w:w="331"/>
        <w:gridCol w:w="12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5.</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During the three months ended March 31, 2026 and 2025, the Company capitalized interest expense on qualifying real estate assets of $0.1</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$1.1</w:t>
            </w:r>
            <w:r>
              <w:rPr>
                <w:caps w:val="false"/>
                <w:smallCaps w:val="false"/>
                <w:spacing w:val="4"/>
              </w:rPr>
              <w:t xml:space="preserve"> </w:t>
            </w:r>
            <w:r>
              <w:rPr>
                <w:rFonts w:ascii="Times New Roman;Times;serif" w:hAnsi="Times New Roman;Times;serif"/>
                <w:b w:val="false"/>
                <w:i w:val="false"/>
                <w:caps w:val="false"/>
                <w:smallCaps w:val="false"/>
                <w:spacing w:val="4"/>
                <w:sz w:val="16"/>
              </w:rPr>
              <w:t xml:space="preserve">million, respectively. </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Future Scheduled Maturities</w:t>
      </w:r>
      <w:r>
        <w:rPr>
          <w:rFonts w:ascii="Times New Roman;Times;serif" w:hAnsi="Times New Roman;Times;serif"/>
          <w:sz w:val="20"/>
        </w:rPr>
        <w:t xml:space="preserve">—As of March 31, 2026, future scheduled maturities of outstanding debt obligations, </w:t>
      </w:r>
      <w:r>
        <w:rPr>
          <w:rFonts w:ascii="Times New Roman;Times;serif" w:hAnsi="Times New Roman;Times;serif"/>
          <w:color w:val="212529"/>
          <w:sz w:val="20"/>
        </w:rPr>
        <w:t>assuming all extensions that can be exercised at the Company’s option,</w:t>
      </w:r>
      <w:r>
        <w:rPr>
          <w:rFonts w:ascii="Times New Roman;Times;serif" w:hAnsi="Times New Roman;Times;serif"/>
          <w:sz w:val="20"/>
        </w:rPr>
        <w:t xml:space="preserve"> are as follows ($ in thousands): </w:t>
      </w:r>
    </w:p>
    <w:p>
      <w:pPr>
        <w:pStyle w:val="TextBody"/>
        <w:bidi w:val="0"/>
        <w:spacing w:before="0" w:after="0"/>
        <w:ind w:left="0" w:right="0" w:firstLine="360"/>
        <w:jc w:val="left"/>
        <w:rPr/>
      </w:pPr>
      <w:r>
        <w:rPr/>
        <w:t>​</w:t>
      </w:r>
    </w:p>
    <w:tbl>
      <w:tblPr>
        <w:tblW w:w="5882" w:type="dxa"/>
        <w:jc w:val="left"/>
        <w:tblInd w:w="0" w:type="dxa"/>
        <w:tblLayout w:type="fixed"/>
        <w:tblCellMar>
          <w:top w:w="0" w:type="dxa"/>
          <w:left w:w="0" w:type="dxa"/>
          <w:bottom w:w="0" w:type="dxa"/>
          <w:right w:w="0" w:type="dxa"/>
        </w:tblCellMar>
      </w:tblPr>
      <w:tblGrid>
        <w:gridCol w:w="4666"/>
        <w:gridCol w:w="109"/>
        <w:gridCol w:w="211"/>
        <w:gridCol w:w="89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962910" cy="175260"/>
                      <wp:effectExtent l="0" t="0" r="0" b="0"/>
                      <wp:wrapNone/>
                      <wp:docPr id="181" name="Frame181"/>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8960" cy="175260"/>
                      <wp:effectExtent l="0" t="0" r="0" b="0"/>
                      <wp:wrapNone/>
                      <wp:docPr id="184" name="Frame18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207,777</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207,777</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discounts and deferred financing costs,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207,001</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Safe Credit Facility</w:t>
      </w:r>
      <w:r>
        <w:rPr>
          <w:rFonts w:ascii="Times New Roman;Times;serif" w:hAnsi="Times New Roman;Times;serif"/>
          <w:sz w:val="20"/>
        </w:rPr>
        <w:t>—In connection with the Spin-Off, on March 31, 2023, the Company, as borrower, entered into a credit agreement with Safe for a secured term loan with an outstanding principal amount of $115.0 million, plus up to $25.0 million in incremental borrowing capacity for specified purposes (as amended from time to time, the "Safe Credit Facility"). On March 28, 2025, the Company and Safe entered into an amendment to the Safe Credit Facility that, among other things, extended the maturity date by one year to March 31, 2028, provides that the $25.0 million in incremental borrowing capacity under the facility may be re-drawn for permitted purposes and permits the Company to repurchase up to $10.0 million of its shares pursuant to its share repurchase program (refer to Note 12).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on borrowings under the Safe Credit Facility is payable in cash and accrues interest at a rate of (x) 8.00% per annum or (y) to the extent any loan remains outstanding under an incremental facility available under the Safe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Facility at such time, 10.00% per annum, as applicable. Amounts outstanding under the Safe Credit Facility may be prepaid at any time, in whole or in part, without premium or penalty.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2026 and 2025, the Company incurred $2.3 million and $2.3 million, respectively, of interest expense gross of amounts capitalized on the Safe Credit Facility, which is included in “Interest expense” in the Company’s consolidated statements of operations.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Margin Loan Facility</w:t>
      </w:r>
      <w:r>
        <w:rPr>
          <w:rFonts w:ascii="Times New Roman;Times;serif" w:hAnsi="Times New Roman;Times;serif"/>
          <w:sz w:val="20"/>
        </w:rPr>
        <w:t xml:space="preserve">—On March 31, 2023, STAR Investment Holdings SPV LLC, a Delaware limited liability company and wholly-owned subsidiary of the Company ("STAR SPV"), as borrower, entered into a margin loan agreement providing for a three-year, $140.0 million senior secured margin loan facility (as amended from time to time, the "Margin Loan Facility"), with Morgan Stanley Senior Funding, Inc., as administrative agent, Morgan Stanley &amp; Co. LLC, as calculation agent, and Morgan Stanley Bank, N.A., as initial lender. The Margin Loan Facility is secured by a first priority pledge of the Safe Shares and has a principal balance of $92.8 million as of March 31, 2026. On March 28, 2025, the Company entered into an amendment to the Margin Loan Facility that, among other things, extended the maturity date from March 2026 to March 2028, increased the interest rate by 50 basis points, provides for an additional $15.8 million delayed-draw capital commitment from the lender (in addition to the outstanding principal balance on that date) and eased certain collateral posting and release triggers from then existing levels.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on the Margin Loan Facility is payable in cash; provided, that STAR SPV may, at its option, elect that the interest for any future interest period be paid-in-kind. Amounts outstanding under the Margin Loan Facility accrue interest at a rate equal to term SOFR for a three-month tenor plus a spread. Amounts outstanding under the Margin Loan Facility may be prepaid at any time upon prior notice, in whole or in part, subject to the payment of any applicable make-whole amount.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Senior Construction Mortgage Loan</w:t>
      </w:r>
      <w:r>
        <w:rPr>
          <w:rFonts w:ascii="Times New Roman;Times;serif" w:hAnsi="Times New Roman;Times;serif"/>
          <w:sz w:val="20"/>
        </w:rPr>
        <w:t xml:space="preserve">—In December 2023, the Venture (refer to Note 5) entered into an $80.0 million senior construction mortgage loan (the “Loan”). The Loan was interest only during the term and accrued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+ 6.85% (with a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floor of 3.65%) and featured a 1.0% origination fee and a 1.85% exit fee, both on the total loan commitment. A subsidiary of the Company provided a completion and carry guaranty on the Loan and was required to maintain a minimum net worth and a minimum liquidity amount both prior to and after the completion of the Project while the Loan was outstanding. The Company deconsolidated the Venture and the Loan in March 2026 (refer to Note 5).</w:t>
      </w:r>
    </w:p>
    <w:p>
      <w:pPr>
        <w:pStyle w:val="TextBody"/>
        <w:shd w:fill="FFFFFF" w:val="clear"/>
        <w:bidi w:val="0"/>
        <w:spacing w:before="0" w:after="0"/>
        <w:ind w:left="0" w:right="0" w:firstLine="360"/>
        <w:jc w:val="both"/>
        <w:rPr/>
      </w:pPr>
      <w:r>
        <w:rPr/>
        <w: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—The Safe Credit Facility requires that the Company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New Safe to, among other things, declare the principal, accrued interest and other obligations of the Company under the Safe Credit Facility to be immediately due and payable and foreclose on the collateral securing the Safe 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Margin Loan Facility requires that STAR SPV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STAR SPV may be required to prepay all amounts due under the Margin Loan Facility or post additional collateral in accordance with the Margin Loan Facility and related agreements.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2026, the Company was in compliance with all of its financial covenants.</w:t>
      </w:r>
    </w:p>
    <w:p>
      <w:pPr>
        <w:pStyle w:val="TextBody"/>
        <w:shd w:fill="FFFFFF" w:val="clear"/>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10—Commitments and Contingencies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w:t>
      </w:r>
      <w:r>
        <w:rPr>
          <w:rFonts w:ascii="Times New Roman;Times;serif" w:hAnsi="Times New Roman;Times;serif"/>
          <w:spacing w:val="4"/>
          <w:sz w:val="20"/>
        </w:rPr>
        <w:t xml:space="preserve">The Company and/or one or more of its subsidiaries is party to various pending litigation matters that are considered ordinary routine litigation incidental to the Company’s business as a finance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consolidated financial statements.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11—Risk Management</w:t>
      </w:r>
    </w:p>
    <w:p>
      <w:pPr>
        <w:pStyle w:val="TextBody"/>
        <w:bidi w:val="0"/>
        <w:spacing w:before="0" w:after="0"/>
        <w:ind w:left="0" w:right="0" w:hanging="0"/>
        <w:jc w:val="left"/>
        <w:rPr>
          <w:rFonts w:ascii="Times New Roman;Times;serif" w:hAnsi="Times New Roman;Times;serif"/>
          <w:b/>
          <w:spacing w:val="-4"/>
          <w:sz w:val="20"/>
        </w:rPr>
      </w:pPr>
      <w:r>
        <w:rPr>
          <w:rFonts w:ascii="Times New Roman;Times;serif" w:hAnsi="Times New Roman;Times;serif"/>
          <w:b/>
          <w:spacing w:val="-4"/>
          <w:sz w:val="20"/>
        </w:rPr>
        <w:t>Risk management</w:t>
      </w:r>
    </w:p>
    <w:p>
      <w:pPr>
        <w:pStyle w:val="TextBody"/>
        <w:bidi w:val="0"/>
        <w:spacing w:before="0" w:after="0"/>
        <w:ind w:left="0" w:right="0" w:hanging="0"/>
        <w:jc w:val="left"/>
        <w:rPr/>
      </w:pPr>
      <w:r>
        <w:rPr/>
        <w:t>​</w:t>
      </w:r>
    </w:p>
    <w:p>
      <w:pPr>
        <w:pStyle w:val="TextBody"/>
        <w:bidi w:val="0"/>
        <w:spacing w:before="0" w:after="0"/>
        <w:ind w:left="0" w:right="0" w:firstLine="400"/>
        <w:jc w:val="both"/>
        <w:rPr>
          <w:rFonts w:ascii="Times New Roman;Times;serif" w:hAnsi="Times New Roman;Times;serif"/>
          <w:spacing w:val="4"/>
          <w:sz w:val="20"/>
        </w:rPr>
      </w:pPr>
      <w:r>
        <w:rPr>
          <w:rFonts w:ascii="Times New Roman;Times;serif" w:hAnsi="Times New Roman;Times;serif"/>
          <w:spacing w:val="4"/>
          <w:sz w:val="20"/>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spacing w:val="-4"/>
          <w:sz w:val="20"/>
        </w:rPr>
        <w:t>Risk concentrations—</w:t>
      </w:r>
      <w:r>
        <w:rPr>
          <w:rFonts w:ascii="Times New Roman;Times;serif" w:hAnsi="Times New Roman;Times;serif"/>
          <w:spacing w:val="4"/>
          <w:sz w:val="20"/>
        </w:rPr>
        <w:t>Concentrations of credit risks arise when a number of borrowers, tenants or investees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pacing w:val="4"/>
          <w:sz w:val="20"/>
        </w:rPr>
      </w:pPr>
      <w:r>
        <w:rPr>
          <w:rFonts w:ascii="Times New Roman;Times;serif" w:hAnsi="Times New Roman;Times;serif"/>
          <w:spacing w:val="4"/>
          <w:sz w:val="20"/>
        </w:rPr>
        <w:t>All of the Company’s real estate and assets collateralizing its loans receivable are located in the United States. As of March 31, 2026, the Company’s portfolio contains concentrations in the following property types: entertainment/leisure, land and development, hotel, retail and the Safe Shares.</w:t>
      </w:r>
    </w:p>
    <w:p>
      <w:pPr>
        <w:pStyle w:val="TextBody"/>
        <w:bidi w:val="0"/>
        <w:spacing w:before="0" w:after="0"/>
        <w:ind w:left="0" w:right="0" w:firstLine="400"/>
        <w:jc w:val="left"/>
        <w:rPr>
          <w:spacing w:val="4"/>
        </w:rPr>
      </w:pPr>
      <w:r>
        <w:rPr>
          <w:spacing w:val="4"/>
        </w:rPr>
        <w:t>​</w:t>
      </w:r>
    </w:p>
    <w:p>
      <w:pPr>
        <w:pStyle w:val="TextBody"/>
        <w:bidi w:val="0"/>
        <w:spacing w:before="0" w:after="0"/>
        <w:ind w:left="0" w:right="0" w:firstLine="403"/>
        <w:jc w:val="both"/>
        <w:rPr>
          <w:rFonts w:ascii="Times New Roman;Times;serif" w:hAnsi="Times New Roman;Times;serif"/>
          <w:spacing w:val="4"/>
          <w:sz w:val="20"/>
        </w:rPr>
      </w:pPr>
      <w:r>
        <w:rPr>
          <w:rFonts w:ascii="Times New Roman;Times;serif" w:hAnsi="Times New Roman;Times;serif"/>
          <w:spacing w:val="4"/>
          <w:sz w:val="20"/>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In addition, declines in the market price of Safe common stock could require the Company to post additional collateral or prepay some or all of the outstanding borrowings under the Margin Loan Facility.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12—Equity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pacing w:val="-4"/>
          <w:sz w:val="20"/>
        </w:rPr>
        <w:t>Common Stock—</w:t>
      </w:r>
      <w:r>
        <w:rPr>
          <w:rFonts w:ascii="Times New Roman;Times;serif" w:hAnsi="Times New Roman;Times;serif"/>
          <w:sz w:val="20"/>
        </w:rPr>
        <w:t xml:space="preserve">On March 31, 2023, in connection with the Spin-Off, </w:t>
      </w:r>
      <w:r>
        <w:rPr>
          <w:rFonts w:ascii="Times New Roman;Times;serif" w:hAnsi="Times New Roman;Times;serif"/>
          <w:sz w:val="20"/>
          <w:shd w:fill="FFFFFF" w:val="clear"/>
        </w:rPr>
        <w:t> iStar distributed 100% of the common shares of beneficial interest in the Company to holders of common stock of iStar ("iStar Common Stock") by way of a pro rata distribution of 0.153 common shares of the Company for each outstanding share of iStar Common Stock held on the record date of the distribution. </w:t>
      </w:r>
      <w:r>
        <w:rPr>
          <w:rFonts w:ascii="Times New Roman;Times;serif" w:hAnsi="Times New Roman;Times;serif"/>
          <w:sz w:val="20"/>
        </w:rPr>
        <w:t xml:space="preserve"> As of March 31, 2026, the Company has one class of common stock with 12,081,333 shares outstanding.</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 xml:space="preserve">— “Accumulated other comprehensive income (loss)” reflected in the Company’s shareholders’ equity is comprised of unrealized gains or losses on the Company’s available-for-sale securities.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Share Repurchase Program</w:t>
      </w:r>
      <w:r>
        <w:rPr>
          <w:rFonts w:ascii="Times New Roman;Times;serif" w:hAnsi="Times New Roman;Times;serif"/>
          <w:sz w:val="20"/>
        </w:rPr>
        <w:t xml:space="preserve">—The Company initiated a share repurchase program in March 2025 that permitted the Company to repurchase up to $10.0 million of its common shares in open market purchases, privately negotiated transactions or otherwise, including pursuant to one or more trading plans. Any such purchases were subject to market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pricing conditions, applicable law and other factors deemed relevant in the Company's sole discretion. During the three months ended March 31, 2026, the Company repurchased 0.2 million shares of its outstanding common stock for $2.0 million, representing an average cost of $8.43 per share, including fees. As of March 31, 2026, the Company utilized the full authorization under this share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66" w:name="Tc_nel2BP9ANUK6RFkm2OLTKg_11_5"/>
      <w:bookmarkStart w:id="767" w:name="Tc_HGMLmjn_tUS1j40KKkiZSg_11_2"/>
      <w:bookmarkStart w:id="768" w:name="Tc_S9nDchSmLUOMPLlEY2AmnQ_11_0"/>
      <w:bookmarkStart w:id="769" w:name="Tc_s-NjX9vhO0Og9af91UtSVQ_10_0"/>
      <w:bookmarkStart w:id="770" w:name="Tc_zoHqmld_kkKx_TQn_Whybw_8_0"/>
      <w:bookmarkStart w:id="771" w:name="Tc_dS_gL2gSyEe3EJEDISDyeA_7_0"/>
      <w:bookmarkStart w:id="772" w:name="Tc_1aordO6gN0GCV9QRFgPBNA_5_5"/>
      <w:bookmarkStart w:id="773" w:name="Tc_ZAsCBIf1R06kfCGMxzX3uQ_5_2"/>
      <w:bookmarkStart w:id="774" w:name="Tc_HG7cq0pWPkKiUW9aH8WTSQ_5_0"/>
      <w:bookmarkStart w:id="775" w:name="Tc_-wd3ONWWYE-Kc3WHOzGa_A_4_0"/>
      <w:bookmarkStart w:id="776" w:name="Tc_0UG8VoZh1k-ltU_gWkAKeA_3_0"/>
      <w:bookmarkStart w:id="777" w:name="Tc_s27vz8acG0uYnmt8aDLc5A_2_5"/>
      <w:bookmarkStart w:id="778" w:name="Tc_Dka9kMX7GEO_1C-1WIICBQ_2_2"/>
      <w:bookmarkStart w:id="779" w:name="Tc_XtBaRvA-O0Ww1hKtlilE3g_1_2"/>
      <w:bookmarkStart w:id="780" w:name="_183f6a03_3bea_433a_a667_49d4487ae042"/>
      <w:bookmarkStart w:id="781" w:name="Tc__40II7ZRukaoOcGqlYFd6Q_5_5"/>
      <w:bookmarkStart w:id="782" w:name="Tc_qZH6236LKUemPFbMgWBTYA_5_2"/>
      <w:bookmarkStart w:id="783" w:name="Tc_F5FjzUBLXUGP7r8pYmoukQ_5_0"/>
      <w:bookmarkStart w:id="784" w:name="Tc_khKWBzzjkUicHE162iMgvw_4_0"/>
      <w:bookmarkStart w:id="785" w:name="Tc_wA7D2RyY4kaWJZwChc5OSw_3_5"/>
      <w:bookmarkStart w:id="786" w:name="Tc_WlWN6jtYrUSJqBmbjjtw0A_3_2"/>
      <w:bookmarkStart w:id="787" w:name="Tc_BYAqCfTiHkGzhiVZfEAp-w_3_0"/>
      <w:bookmarkStart w:id="788" w:name="Tc_QejMbd96k0e4O1pBcTMbTQ_2_5"/>
      <w:bookmarkStart w:id="789" w:name="Tc_651Q0C7z0ESOVYgeGQjyRw_2_2"/>
      <w:bookmarkStart w:id="790" w:name="Tc_QJU86i3r-Umt3Ef8LiO3aA_1_2"/>
      <w:bookmarkStart w:id="791" w:name="_ff44f159_2079_488b_b258_8a904cb4060f"/>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rFonts w:ascii="Times New Roman;Times;serif" w:hAnsi="Times New Roman;Times;serif"/>
          <w:b/>
          <w:sz w:val="20"/>
        </w:rPr>
        <w:t>Note 13—Earnings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presents a reconciliation of income from operations used in the basic and diluted earnings per share (“EPS”) calculations ($ in thousands, except for per share data): </w:t>
      </w:r>
    </w:p>
    <w:tbl>
      <w:tblPr>
        <w:tblW w:w="9466" w:type="dxa"/>
        <w:jc w:val="left"/>
        <w:tblInd w:w="0" w:type="dxa"/>
        <w:tblLayout w:type="fixed"/>
        <w:tblCellMar>
          <w:top w:w="0" w:type="dxa"/>
          <w:left w:w="0" w:type="dxa"/>
          <w:bottom w:w="0" w:type="dxa"/>
          <w:right w:w="0" w:type="dxa"/>
        </w:tblCellMar>
      </w:tblPr>
      <w:tblGrid>
        <w:gridCol w:w="6046"/>
        <w:gridCol w:w="346"/>
        <w:gridCol w:w="282"/>
        <w:gridCol w:w="1064"/>
        <w:gridCol w:w="462"/>
        <w:gridCol w:w="282"/>
        <w:gridCol w:w="984"/>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839210" cy="175260"/>
                      <wp:effectExtent l="0" t="0" r="0" b="0"/>
                      <wp:wrapNone/>
                      <wp:docPr id="185" name="Frame185"/>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9070" cy="175260"/>
                      <wp:effectExtent l="0" t="0" r="0" b="0"/>
                      <wp:wrapNone/>
                      <wp:docPr id="187" name="Frame18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75640" cy="175260"/>
                      <wp:effectExtent l="0" t="0" r="0" b="0"/>
                      <wp:wrapNone/>
                      <wp:docPr id="188" name="Frame188"/>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93370" cy="175260"/>
                      <wp:effectExtent l="0" t="0" r="0" b="0"/>
                      <wp:wrapNone/>
                      <wp:docPr id="189" name="Frame189"/>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9070" cy="175260"/>
                      <wp:effectExtent l="0" t="0" r="0" b="0"/>
                      <wp:wrapNone/>
                      <wp:docPr id="190" name="Frame19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24840" cy="175260"/>
                      <wp:effectExtent l="0" t="0" r="0" b="0"/>
                      <wp:wrapNone/>
                      <wp:docPr id="191" name="Frame19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12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(8,046)</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operations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462"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(10,257)</w:t>
            </w:r>
          </w:p>
        </w:tc>
        <w:tc>
          <w:tcPr>
            <w:tcW w:w="462"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06"/>
        <w:gridCol w:w="346"/>
        <w:gridCol w:w="271"/>
        <w:gridCol w:w="1016"/>
        <w:gridCol w:w="445"/>
        <w:gridCol w:w="271"/>
        <w:gridCol w:w="950"/>
      </w:tblGrid>
      <w:tr>
        <w:trPr/>
        <w:tc>
          <w:tcPr>
            <w:tcW w:w="6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5310" cy="175260"/>
                      <wp:effectExtent l="0" t="0" r="0" b="0"/>
                      <wp:wrapNone/>
                      <wp:docPr id="192" name="Frame192"/>
                      <a:graphic xmlns:a="http://schemas.openxmlformats.org/drawingml/2006/main">
                        <a:graphicData uri="http://schemas.microsoft.com/office/word/2010/wordprocessingShape">
                          <wps:wsp>
                            <wps:cNvSpPr txBox="1"/>
                            <wps:spPr>
                              <a:xfrm>
                                <a:off x="0" y="0"/>
                                <a:ext cx="438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2085" cy="175260"/>
                      <wp:effectExtent l="0" t="0" r="0" b="0"/>
                      <wp:wrapNone/>
                      <wp:docPr id="194" name="Frame19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5160" cy="175260"/>
                      <wp:effectExtent l="0" t="0" r="0" b="0"/>
                      <wp:wrapNone/>
                      <wp:docPr id="195" name="Frame195"/>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82575" cy="175260"/>
                      <wp:effectExtent l="0" t="0" r="0" b="0"/>
                      <wp:wrapNone/>
                      <wp:docPr id="196" name="Frame196"/>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2085" cy="175260"/>
                      <wp:effectExtent l="0" t="0" r="0" b="0"/>
                      <wp:wrapNone/>
                      <wp:docPr id="197" name="Frame1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3250" cy="175260"/>
                      <wp:effectExtent l="0" t="0" r="0" b="0"/>
                      <wp:wrapNone/>
                      <wp:docPr id="198" name="Frame198"/>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5" w:type="dxa"/>
            <w:tcBorders/>
            <w:vAlign w:val="center"/>
          </w:tcPr>
          <w:p>
            <w:pPr>
              <w:pStyle w:val="TableContents"/>
              <w:bidi w:val="0"/>
              <w:spacing w:before="0" w:after="0"/>
              <w:ind w:left="0" w:right="0" w:hanging="0"/>
              <w:jc w:val="left"/>
              <w:rPr/>
            </w:pPr>
            <w:r>
              <w:rPr/>
              <w:t>  ​ ​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allocable to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  ​</w:t>
            </w:r>
          </w:p>
        </w:tc>
        <w:tc>
          <w:tcPr>
            <w:tcW w:w="445"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  ​</w:t>
            </w:r>
          </w:p>
        </w:tc>
      </w:tr>
      <w:tr>
        <w:trPr/>
        <w:tc>
          <w:tcPr>
            <w:tcW w:w="69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Numerator for basic and diluted earnings per share:</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45" w:type="dxa"/>
            <w:tcBorders/>
            <w:vAlign w:val="center"/>
          </w:tcPr>
          <w:p>
            <w:pPr>
              <w:pStyle w:val="TableContents"/>
              <w:bidi w:val="0"/>
              <w:spacing w:before="0" w:after="0"/>
              <w:ind w:left="0" w:right="0" w:hanging="0"/>
              <w:jc w:val="left"/>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6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(10,257)</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(7,604)</w:t>
            </w:r>
          </w:p>
        </w:tc>
      </w:tr>
      <w:tr>
        <w:trPr/>
        <w:tc>
          <w:tcPr>
            <w:tcW w:w="6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r>
      <w:tr>
        <w:trPr/>
        <w:tc>
          <w:tcPr>
            <w:tcW w:w="690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Denominator for basic and 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6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and diluted earnings per common share</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12,131</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13,320</w:t>
            </w:r>
          </w:p>
        </w:tc>
      </w:tr>
      <w:tr>
        <w:trPr/>
        <w:tc>
          <w:tcPr>
            <w:tcW w:w="69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r>
      <w:tr>
        <w:trPr/>
        <w:tc>
          <w:tcPr>
            <w:tcW w:w="69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and diluted earnings per common share:</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6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14—Fair Values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Unadjusted quoted prices in active markets that are accessible at the measurement date for identical, unrestricted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Quoted prices in markets that are not active, or inputs which are observable, either directly or indirectly, for substantially the full term of the asset or liability;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Prices or valuation techniques that require inputs that are both significant to the fair value measurement and unobservable (i.e., supported by little or no market activity).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120"/>
        <w:ind w:left="0" w:right="0" w:firstLine="360"/>
        <w:jc w:val="both"/>
        <w:rPr>
          <w:rFonts w:ascii="Times New Roman;Times;serif" w:hAnsi="Times New Roman;Times;serif"/>
          <w:sz w:val="20"/>
        </w:rPr>
      </w:pPr>
      <w:bookmarkStart w:id="792" w:name="Tc_THNvcKznMUW4j_4aqK7-2w_10_0"/>
      <w:bookmarkStart w:id="793" w:name="Tc_AsILMRUvf0GLpWqHuSrbFQ_9_0"/>
      <w:bookmarkStart w:id="794" w:name="Tc_V7Y7ScqaN0ySTydDbFhR8A_7_0"/>
      <w:bookmarkStart w:id="795" w:name="Tc_W8ETFelykU2azJvqgFgn_Q_6_0"/>
      <w:bookmarkStart w:id="796" w:name="Tc_4cEafxfY0E-zMQ9AwA3Vkw_5_11"/>
      <w:bookmarkStart w:id="797" w:name="Tc_Hyo6MmhxH0GvEP_S29tKLQ_5_8"/>
      <w:bookmarkStart w:id="798" w:name="Tc_PptD8vk320ySccS9wioFkg_5_5"/>
      <w:bookmarkStart w:id="799" w:name="Tc_eVtAodqKz0u5K3E4wamwsQ_5_2"/>
      <w:bookmarkStart w:id="800" w:name="Tc_RiboQj6QnUGlQbq3pTjmPw_5_0"/>
      <w:bookmarkStart w:id="801" w:name="Tc_yIi5-LBajU6D2JNm3gvhww_4_0"/>
      <w:bookmarkStart w:id="802" w:name="Tc_xXDgeKaeukCmKoCOLx3WRg_3_11"/>
      <w:bookmarkStart w:id="803" w:name="Tc_U8Q3Lrdsn02SFZZxyJ6drg_3_8"/>
      <w:bookmarkStart w:id="804" w:name="Tc_6tyI_cXYzU-jN53XOT7iKg_3_5"/>
      <w:bookmarkStart w:id="805" w:name="Tc_hFr1vf_cNE-q7XF1McmMGg_3_2"/>
      <w:bookmarkStart w:id="806" w:name="Tc_K79GEB0IEUSzBkXfnjwYTw_2_11"/>
      <w:bookmarkStart w:id="807" w:name="Tc_ENRFxSf1IkO3fSMzZhsHAw_2_8"/>
      <w:bookmarkStart w:id="808" w:name="Tc_3-aFXBKs5kidclT-LqmkXQ_2_5"/>
      <w:bookmarkStart w:id="809" w:name="Tc_CDF74aGMiEG_5D9e80wocg_2_2"/>
      <w:bookmarkStart w:id="810" w:name="Tc_ldpTIP67GUa7kcGOBc-82A_1_8"/>
      <w:bookmarkStart w:id="811" w:name="Tc_CkfQ6OImVEKI58TXkILigg_1_2"/>
      <w:bookmarkStart w:id="812" w:name="_e0f830be_48a1_4b47_97c5_4b171265ebf5"/>
      <w:bookmarkStart w:id="813" w:name="Tc_b_yE3SfTKk6AXpGETKWfkg_7_5"/>
      <w:bookmarkStart w:id="814" w:name="Tc_RYJVZAJyEk2_t__03vC4Hw_7_2"/>
      <w:bookmarkStart w:id="815" w:name="Tc__Zxlffiobki_RPKz0gHFTw_7_0"/>
      <w:bookmarkStart w:id="816" w:name="Tc_C3w5ngRl30eRjvU1vTt_nA_6_0"/>
      <w:bookmarkStart w:id="817" w:name="Tc_uVE94lvJukKodEGYNkl5OQ_5_6"/>
      <w:bookmarkStart w:id="818" w:name="Tc_WyG0e8QOm0mPfKISDmgrbw_5_0"/>
      <w:bookmarkStart w:id="819" w:name="Tc_OHkI1CjQUka1K6lXCdZx_g_4_0"/>
      <w:bookmarkStart w:id="820" w:name="Tc_9ireaemVzEOn7xbbpk0WtA_3_5"/>
      <w:bookmarkStart w:id="821" w:name="Tc_SN1BYEFooEymuRlEyFbINw_3_2"/>
      <w:bookmarkStart w:id="822" w:name="Tc_Je_vLSGdb0GnigQED9BTlw_3_0"/>
      <w:bookmarkStart w:id="823" w:name="Tc_MlQkI1YPMkulgVj14YD5nA_2_5"/>
      <w:bookmarkStart w:id="824" w:name="Tc_yZcu4cYuZEmkoYDDcp9jXw_2_2"/>
      <w:bookmarkStart w:id="825" w:name="Tc_kGoCxE1ge0GLJOu26m1K2Q_1_2"/>
      <w:bookmarkStart w:id="826" w:name="_c96297db_d1fa_4ff3_8a10_abc23eee1896"/>
      <w:bookmarkStart w:id="827" w:name="Tc_9hNWBGr5fkm8S-Z4nQ4C5g_14_12"/>
      <w:bookmarkStart w:id="828" w:name="Tc_ItucO_jI4EeGOK0EIALrPw_14_9"/>
      <w:bookmarkStart w:id="829" w:name="Tc_MlN8HmZeZEmMoBTVeO7lHA_14_0"/>
      <w:bookmarkStart w:id="830" w:name="Tc_vtAMBT_QjU-56GM8cAXifQ_13_11"/>
      <w:bookmarkStart w:id="831" w:name="Tc_Ot4hEnnSXEGLT7RS74PQXg_13_9"/>
      <w:bookmarkStart w:id="832" w:name="Tc_1_-UErS2_kCPHe0zByDplw_13_8"/>
      <w:bookmarkStart w:id="833" w:name="Tc_xTi7PVOWxU-LgWZeO1BqOQ_13_6"/>
      <w:bookmarkStart w:id="834" w:name="Tc_GoKxODx8Ck-OnHFv3o-jZw_13_5"/>
      <w:bookmarkStart w:id="835" w:name="Tc_n5nsr35Zq02N8-4VjCfd3Q_13_2"/>
      <w:bookmarkStart w:id="836" w:name="Tc_H-H4prRPz06qbEkQg4j92g_13_0"/>
      <w:bookmarkStart w:id="837" w:name="Tc_6orAsoYPJUCkBi3FGhYE_Q_12_0"/>
      <w:bookmarkStart w:id="838" w:name="Tc_Hb98YRioRUKlOAd7phYtqg_10_12"/>
      <w:bookmarkStart w:id="839" w:name="Tc_5Fy_xMgz7kKagl5-mDPClg_10_9"/>
      <w:bookmarkStart w:id="840" w:name="Tc_eHrwk2QFhEOtHK4LVfwJAw_10_0"/>
      <w:bookmarkStart w:id="841" w:name="Tc_0snTf1UVEkat6HjP_Ht7dQ_9_11"/>
      <w:bookmarkStart w:id="842" w:name="Tc_1TTAyjrhdEaDJFDCPCaEqQ_9_9"/>
      <w:bookmarkStart w:id="843" w:name="Tc_Csy7NYu2mUSOXXzLkq7Efg_9_8"/>
      <w:bookmarkStart w:id="844" w:name="Tc_JeIkyX4zN0i6FDkwjiQMLw_9_6"/>
      <w:bookmarkStart w:id="845" w:name="Tc_JakdXCuaj0uLfAl6i8GkXg_9_5"/>
      <w:bookmarkStart w:id="846" w:name="Tc_8fUUKMaLUUaCBeBEhexaWA_9_2"/>
      <w:bookmarkStart w:id="847" w:name="Tc_cvsRWO1sNEa0W-FNrzYSYQ_9_0"/>
      <w:bookmarkStart w:id="848" w:name="Tc_4VNhmZA2lkOvWTUQyCb9Xw_8_0"/>
      <w:bookmarkStart w:id="849" w:name="Tc_WgoAULNKeUSFstxVYS-ElA_7_11"/>
      <w:bookmarkStart w:id="850" w:name="Tc_dBicbs6j80a51n6F5grwZw_7_8"/>
      <w:bookmarkStart w:id="851" w:name="Tc_M0PiFk6gzUGe3Nq9STXYmA_7_5"/>
      <w:bookmarkStart w:id="852" w:name="Tc_EE33H0zJeUqj7jvN6Kl9WQ_7_2"/>
      <w:bookmarkStart w:id="853" w:name="Tc_BNtWfSuD2kKLpgfqKFivKw_6_11"/>
      <w:bookmarkStart w:id="854" w:name="Tc_33Eu9UrKF0OMR_sjqQ9zWw_6_8"/>
      <w:bookmarkStart w:id="855" w:name="Tc_qFjUN-0lz0qqiz5x-rFDvQ_6_5"/>
      <w:bookmarkStart w:id="856" w:name="Tc_UfZqJv5k3EmFyx9ED_C8JA_5_11"/>
      <w:bookmarkStart w:id="857" w:name="Tc_eSxHdROTWk-LLjjqkwrpvA_5_8"/>
      <w:bookmarkStart w:id="858" w:name="Tc_yQqAxhG2JEelKbc1w7gVDA_5_5"/>
      <w:bookmarkStart w:id="859" w:name="Tc_gD00hq5XcE6tZiXaC46ZPw_4_11"/>
      <w:bookmarkStart w:id="860" w:name="Tc_nn1fVnoVJk20wsVz1HAVPA_4_8"/>
      <w:bookmarkStart w:id="861" w:name="Tc_fpi3PRDzUE2VQ_EdAT8XHw_4_5"/>
      <w:bookmarkStart w:id="862" w:name="Tc_qEwJIlaOMUyd5CnFyrcpjQ_3_8"/>
      <w:bookmarkStart w:id="863" w:name="Tc_tm97KxlCo0i0rcCbXSRQAw_3_5"/>
      <w:bookmarkStart w:id="864" w:name="Tc_4Pte3m9W1EGnDAytn5jj-A_2_5"/>
      <w:bookmarkStart w:id="865" w:name="Tc_aDPfXsULO0yk90qKTcQIzQ_1_2"/>
      <w:bookmarkStart w:id="866" w:name="_0ac9b1e5_9a81_49e9_8fb6_9a20ef77a1fd"/>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sz w:val="20"/>
        </w:rPr>
        <w:t xml:space="preserve">The following fair value hierarchy table summarizes the Company’s assets recorded at fair value on a recurring basis by the above categories as of March 31, 2026 and December 31, 2025 ($ in thousands): </w:t>
      </w:r>
    </w:p>
    <w:tbl>
      <w:tblPr>
        <w:tblW w:w="8034" w:type="dxa"/>
        <w:jc w:val="left"/>
        <w:tblInd w:w="0" w:type="dxa"/>
        <w:tblLayout w:type="fixed"/>
        <w:tblCellMar>
          <w:top w:w="0" w:type="dxa"/>
          <w:left w:w="0" w:type="dxa"/>
          <w:bottom w:w="0" w:type="dxa"/>
          <w:right w:w="0" w:type="dxa"/>
        </w:tblCellMar>
      </w:tblPr>
      <w:tblGrid>
        <w:gridCol w:w="2611"/>
        <w:gridCol w:w="346"/>
        <w:gridCol w:w="226"/>
        <w:gridCol w:w="691"/>
        <w:gridCol w:w="346"/>
        <w:gridCol w:w="233"/>
        <w:gridCol w:w="712"/>
        <w:gridCol w:w="346"/>
        <w:gridCol w:w="390"/>
        <w:gridCol w:w="601"/>
        <w:gridCol w:w="346"/>
        <w:gridCol w:w="306"/>
        <w:gridCol w:w="880"/>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57985" cy="175260"/>
                      <wp:effectExtent l="0" t="0" r="0" b="0"/>
                      <wp:wrapNone/>
                      <wp:docPr id="199" name="Frame199"/>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3510" cy="175260"/>
                      <wp:effectExtent l="0" t="0" r="0" b="0"/>
                      <wp:wrapNone/>
                      <wp:docPr id="201" name="Frame2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7955" cy="175260"/>
                      <wp:effectExtent l="0" t="0" r="0" b="0"/>
                      <wp:wrapNone/>
                      <wp:docPr id="204" name="Frame20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2120" cy="175260"/>
                      <wp:effectExtent l="0" t="0" r="0" b="0"/>
                      <wp:wrapNone/>
                      <wp:docPr id="205" name="Frame205"/>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47650" cy="175260"/>
                      <wp:effectExtent l="0" t="0" r="0" b="0"/>
                      <wp:wrapNone/>
                      <wp:docPr id="207" name="Frame20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81635" cy="175260"/>
                      <wp:effectExtent l="0" t="0" r="0" b="0"/>
                      <wp:wrapNone/>
                      <wp:docPr id="208" name="Frame20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4310" cy="175260"/>
                      <wp:effectExtent l="0" t="0" r="0" b="0"/>
                      <wp:wrapNone/>
                      <wp:docPr id="210" name="Frame21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58800" cy="175260"/>
                      <wp:effectExtent l="0" t="0" r="0" b="0"/>
                      <wp:wrapNone/>
                      <wp:docPr id="211" name="Frame21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7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Using</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Quoted </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market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prices in</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active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observable</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unobservable</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markets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inputs</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3)</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Available-for-sale debt securities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38,234</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38,234</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investments (refer to Note 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182,961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182,961</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Available-for-sale debt securities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25,286</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25,286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investments (refer to Note 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185,125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185,125</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fair value of the Company’s available-for-sale debt securities are based upon unadjusted third-party broker quotes and are classified as Level 3.</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changes in Level 3 available-for-sale securities reported at fair value on the Company’s consolidated balance sheets for the three months ended March 31, 2026 and 2025 ($ in thousands):</w:t>
      </w:r>
    </w:p>
    <w:tbl>
      <w:tblPr>
        <w:tblW w:w="8504" w:type="dxa"/>
        <w:jc w:val="left"/>
        <w:tblInd w:w="0" w:type="dxa"/>
        <w:tblLayout w:type="fixed"/>
        <w:tblCellMar>
          <w:top w:w="0" w:type="dxa"/>
          <w:left w:w="0" w:type="dxa"/>
          <w:bottom w:w="0" w:type="dxa"/>
          <w:right w:w="0" w:type="dxa"/>
        </w:tblCellMar>
      </w:tblPr>
      <w:tblGrid>
        <w:gridCol w:w="5716"/>
        <w:gridCol w:w="346"/>
        <w:gridCol w:w="230"/>
        <w:gridCol w:w="739"/>
        <w:gridCol w:w="378"/>
        <w:gridCol w:w="230"/>
        <w:gridCol w:w="865"/>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629660" cy="175260"/>
                      <wp:effectExtent l="0" t="0" r="0" b="0"/>
                      <wp:wrapNone/>
                      <wp:docPr id="212" name="Frame212"/>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6050" cy="175260"/>
                      <wp:effectExtent l="0" t="0" r="0" b="0"/>
                      <wp:wrapNone/>
                      <wp:docPr id="214" name="Frame21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69265" cy="175260"/>
                      <wp:effectExtent l="0" t="0" r="0" b="0"/>
                      <wp:wrapNone/>
                      <wp:docPr id="215" name="Frame21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0030" cy="175260"/>
                      <wp:effectExtent l="0" t="0" r="0" b="0"/>
                      <wp:wrapNone/>
                      <wp:docPr id="216" name="Frame216"/>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6050" cy="175260"/>
                      <wp:effectExtent l="0" t="0" r="0" b="0"/>
                      <wp:wrapNone/>
                      <wp:docPr id="217" name="Frame21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49275" cy="175260"/>
                      <wp:effectExtent l="0" t="0" r="0" b="0"/>
                      <wp:wrapNone/>
                      <wp:docPr id="218" name="Frame21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8"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c>
          <w:tcPr>
            <w:tcW w:w="37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15,376</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78"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13,820</w:t>
            </w:r>
          </w:p>
        </w:tc>
        <w:tc>
          <w:tcPr>
            <w:tcW w:w="37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recorded in other comprehensive income (loss)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7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38,234</w:t>
            </w:r>
          </w:p>
        </w:tc>
        <w:tc>
          <w:tcPr>
            <w:tcW w:w="378"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14,737</w:t>
            </w:r>
          </w:p>
        </w:tc>
      </w:tr>
    </w:tbl>
    <w:p>
      <w:pPr>
        <w:pStyle w:val="TextBody"/>
        <w:bidi w:val="0"/>
        <w:spacing w:before="0" w:after="240"/>
        <w:ind w:left="0" w:right="0" w:firstLine="360"/>
        <w:jc w:val="both"/>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Fair values of financial instruments—</w:t>
      </w:r>
      <w:r>
        <w:rPr>
          <w:rFonts w:ascii="Times New Roman;Times;serif" w:hAnsi="Times New Roman;Times;serif"/>
          <w:sz w:val="20"/>
        </w:rPr>
        <w:t xml:space="preserve">The following table presents the carrying value and fair value for the Company’s financial instruments ($ in millions): </w:t>
      </w:r>
    </w:p>
    <w:tbl>
      <w:tblPr>
        <w:tblW w:w="9034" w:type="dxa"/>
        <w:jc w:val="left"/>
        <w:tblInd w:w="0" w:type="dxa"/>
        <w:tblLayout w:type="fixed"/>
        <w:tblCellMar>
          <w:top w:w="0" w:type="dxa"/>
          <w:left w:w="0" w:type="dxa"/>
          <w:bottom w:w="0" w:type="dxa"/>
          <w:right w:w="0" w:type="dxa"/>
        </w:tblCellMar>
      </w:tblPr>
      <w:tblGrid>
        <w:gridCol w:w="4516"/>
        <w:gridCol w:w="346"/>
        <w:gridCol w:w="260"/>
        <w:gridCol w:w="521"/>
        <w:gridCol w:w="361"/>
        <w:gridCol w:w="220"/>
        <w:gridCol w:w="439"/>
        <w:gridCol w:w="346"/>
        <w:gridCol w:w="260"/>
        <w:gridCol w:w="521"/>
        <w:gridCol w:w="394"/>
        <w:gridCol w:w="240"/>
        <w:gridCol w:w="610"/>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867660" cy="175260"/>
                      <wp:effectExtent l="0" t="0" r="0" b="0"/>
                      <wp:wrapNone/>
                      <wp:docPr id="219" name="Frame219"/>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5100" cy="175260"/>
                      <wp:effectExtent l="0" t="0" r="0" b="0"/>
                      <wp:wrapNone/>
                      <wp:docPr id="221" name="Frame22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30835" cy="175260"/>
                      <wp:effectExtent l="0" t="0" r="0" b="0"/>
                      <wp:wrapNone/>
                      <wp:docPr id="222" name="Frame222"/>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29235" cy="175260"/>
                      <wp:effectExtent l="0" t="0" r="0" b="0"/>
                      <wp:wrapNone/>
                      <wp:docPr id="223" name="Frame2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9700" cy="175260"/>
                      <wp:effectExtent l="0" t="0" r="0" b="0"/>
                      <wp:wrapNone/>
                      <wp:docPr id="224" name="Frame22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78765" cy="175260"/>
                      <wp:effectExtent l="0" t="0" r="0" b="0"/>
                      <wp:wrapNone/>
                      <wp:docPr id="225" name="Frame22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5100" cy="175260"/>
                      <wp:effectExtent l="0" t="0" r="0" b="0"/>
                      <wp:wrapNone/>
                      <wp:docPr id="227" name="Frame22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30835" cy="175260"/>
                      <wp:effectExtent l="0" t="0" r="0" b="0"/>
                      <wp:wrapNone/>
                      <wp:docPr id="228" name="Frame228"/>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0190" cy="175260"/>
                      <wp:effectExtent l="0" t="0" r="0" b="0"/>
                      <wp:wrapNone/>
                      <wp:docPr id="229" name="Frame22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2400" cy="175260"/>
                      <wp:effectExtent l="0" t="0" r="0" b="0"/>
                      <wp:wrapNone/>
                      <wp:docPr id="230" name="Frame23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87350" cy="175260"/>
                      <wp:effectExtent l="0" t="0" r="0" b="0"/>
                      <wp:wrapNone/>
                      <wp:docPr id="231" name="Frame231"/>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c>
          <w:tcPr>
            <w:tcW w:w="346" w:type="dxa"/>
            <w:tcBorders/>
            <w:vAlign w:val="center"/>
          </w:tcPr>
          <w:p>
            <w:pPr>
              <w:pStyle w:val="TableContents"/>
              <w:bidi w:val="0"/>
              <w:spacing w:before="0" w:after="1"/>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61" w:type="dxa"/>
            <w:tcBorders/>
            <w:vAlign w:val="center"/>
          </w:tcPr>
          <w:p>
            <w:pPr>
              <w:pStyle w:val="TableContents"/>
              <w:bidi w:val="0"/>
              <w:spacing w:before="0" w:after="1"/>
              <w:ind w:left="0" w:right="0" w:hanging="0"/>
              <w:jc w:val="center"/>
              <w:rPr/>
            </w:pPr>
            <w:r>
              <w:rPr/>
              <w:t>​</w:t>
            </w:r>
          </w:p>
        </w:tc>
        <w:tc>
          <w:tcPr>
            <w:tcW w:w="659"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94" w:type="dxa"/>
            <w:tcBorders/>
            <w:vAlign w:val="center"/>
          </w:tcPr>
          <w:p>
            <w:pPr>
              <w:pStyle w:val="TableContents"/>
              <w:bidi w:val="0"/>
              <w:spacing w:before="0" w:after="1"/>
              <w:ind w:left="0" w:right="0" w:hanging="0"/>
              <w:jc w:val="center"/>
              <w:rPr/>
            </w:pPr>
            <w:r>
              <w:rPr/>
              <w:t>​</w:t>
            </w:r>
          </w:p>
        </w:tc>
        <w:tc>
          <w:tcPr>
            <w:tcW w:w="85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c>
          <w:tcPr>
            <w:tcW w:w="361" w:type="dxa"/>
            <w:tcBorders/>
            <w:vAlign w:val="center"/>
          </w:tcPr>
          <w:p>
            <w:pPr>
              <w:pStyle w:val="TableContents"/>
              <w:bidi w:val="0"/>
              <w:spacing w:before="0" w:after="1"/>
              <w:ind w:left="0" w:right="0" w:hanging="0"/>
              <w:jc w:val="left"/>
              <w:rPr/>
            </w:pPr>
            <w:r>
              <w:rPr/>
              <w:t>  ​ ​ ​</w:t>
            </w:r>
          </w:p>
        </w:tc>
        <w:tc>
          <w:tcPr>
            <w:tcW w:w="6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c>
          <w:tcPr>
            <w:tcW w:w="394" w:type="dxa"/>
            <w:tcBorders/>
            <w:vAlign w:val="center"/>
          </w:tcPr>
          <w:p>
            <w:pPr>
              <w:pStyle w:val="TableContents"/>
              <w:bidi w:val="0"/>
              <w:spacing w:before="0" w:after="1"/>
              <w:ind w:left="0" w:right="0" w:hanging="0"/>
              <w:jc w:val="left"/>
              <w:rPr/>
            </w:pPr>
            <w:r>
              <w:rPr/>
              <w:t>  ​ ​ ​</w:t>
            </w:r>
          </w:p>
        </w:tc>
        <w:tc>
          <w:tcPr>
            <w:tcW w:w="8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center"/>
              <w:rPr/>
            </w:pPr>
            <w:r>
              <w:rPr/>
              <w:t>​</w:t>
            </w:r>
          </w:p>
        </w:tc>
        <w:tc>
          <w:tcPr>
            <w:tcW w:w="5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center"/>
              <w:rPr/>
            </w:pPr>
            <w:r>
              <w:rPr/>
              <w:t>​</w:t>
            </w:r>
          </w:p>
        </w:tc>
        <w:tc>
          <w:tcPr>
            <w:tcW w:w="43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center"/>
              <w:rPr/>
            </w:pPr>
            <w:r>
              <w:rPr/>
              <w:t>​</w:t>
            </w:r>
          </w:p>
        </w:tc>
        <w:tc>
          <w:tcPr>
            <w:tcW w:w="521" w:type="dxa"/>
            <w:tcBorders/>
            <w:shd w:fill="CCEEFF" w:val="clear"/>
            <w:vAlign w:val="center"/>
          </w:tcPr>
          <w:p>
            <w:pPr>
              <w:pStyle w:val="TableContents"/>
              <w:bidi w:val="0"/>
              <w:spacing w:before="0" w:after="1"/>
              <w:ind w:left="0" w:right="0" w:hanging="0"/>
              <w:jc w:val="center"/>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610" w:type="dxa"/>
            <w:tcBorders/>
            <w:shd w:fill="CCEEFF" w:val="clear"/>
            <w:vAlign w:val="center"/>
          </w:tcPr>
          <w:p>
            <w:pPr>
              <w:pStyle w:val="TableContents"/>
              <w:bidi w:val="0"/>
              <w:spacing w:before="0" w:after="1"/>
              <w:ind w:left="0" w:right="0" w:hanging="0"/>
              <w:jc w:val="center"/>
              <w:rPr/>
            </w:pPr>
            <w:r>
              <w:rPr/>
              <w:t>​</w:t>
            </w:r>
          </w:p>
        </w:tc>
      </w:tr>
      <w:tr>
        <w:trPr/>
        <w:tc>
          <w:tcPr>
            <w:tcW w:w="45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and other lending investments, net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vAlign w:val="center"/>
          </w:tcPr>
          <w:p>
            <w:pPr>
              <w:pStyle w:val="TableContents"/>
              <w:bidi w:val="0"/>
              <w:spacing w:before="0" w:after="1"/>
              <w:ind w:left="0" w:right="0" w:hanging="0"/>
              <w:jc w:val="righ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94"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5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righ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4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94"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5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right"/>
              <w:rPr/>
            </w:pPr>
            <w:r>
              <w:rPr/>
              <w:t>​</w:t>
            </w:r>
          </w:p>
        </w:tc>
        <w:tc>
          <w:tcPr>
            <w:tcW w:w="220" w:type="dxa"/>
            <w:tcBorders/>
            <w:vAlign w:val="center"/>
          </w:tcPr>
          <w:p>
            <w:pPr>
              <w:pStyle w:val="TableContents"/>
              <w:bidi w:val="0"/>
              <w:spacing w:before="0" w:after="1"/>
              <w:ind w:left="0" w:right="0" w:hanging="0"/>
              <w:jc w:val="left"/>
              <w:rPr/>
            </w:pPr>
            <w:r>
              <w:rPr/>
              <w:t> </w:t>
            </w:r>
          </w:p>
        </w:tc>
        <w:tc>
          <w:tcPr>
            <w:tcW w:w="4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pPr>
            <w:r>
              <w:rPr/>
              <w:t> </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4"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 </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5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righ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20"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610" w:type="dxa"/>
            <w:tcBorders/>
            <w:vAlign w:val="center"/>
          </w:tcPr>
          <w:p>
            <w:pPr>
              <w:pStyle w:val="TableContents"/>
              <w:bidi w:val="0"/>
              <w:spacing w:before="0" w:after="1"/>
              <w:ind w:left="0" w:right="0" w:hanging="0"/>
              <w:jc w:val="right"/>
              <w:rPr/>
            </w:pPr>
            <w:r>
              <w:rPr/>
              <w:t>​</w:t>
            </w:r>
          </w:p>
        </w:tc>
      </w:tr>
      <w:tr>
        <w:trPr/>
        <w:tc>
          <w:tcPr>
            <w:tcW w:w="45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bidi w:val="0"/>
              <w:spacing w:before="0" w:after="1"/>
              <w:ind w:left="0" w:right="0" w:hanging="0"/>
              <w:jc w:val="righ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94"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272</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fair value of the Company’s loans receivable and other lending investments, net and debt obligations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determined the carrying values of its cash and restricted cash approximated their fair values. Restricted cash is recorded in “Deferred expenses and other assets, net” on the Company’s balance sheet. The fair value of the Company’s cash and restricted cash are classified as Level 1 within the fair value hierarchy.</w:t>
            </w:r>
            <w:r>
              <w:rPr>
                <w:caps w:val="false"/>
                <w:smallCaps w:val="false"/>
              </w:rPr>
              <w:t xml:space="preserve"> </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pBdr/>
        <w:bidi w:val="0"/>
        <w:spacing w:before="0" w:after="0"/>
        <w:ind w:left="0" w:right="0" w:hanging="360"/>
        <w:jc w:val="both"/>
        <w:rPr>
          <w:rFonts w:ascii="Times New Roman;Times;serif" w:hAnsi="Times New Roman;Times;serif"/>
          <w:b/>
          <w:sz w:val="20"/>
        </w:rPr>
      </w:pPr>
      <w:r>
        <w:rPr>
          <w:rFonts w:ascii="Times New Roman;Times;serif" w:hAnsi="Times New Roman;Times;serif"/>
          <w:b/>
          <w:sz w:val="20"/>
        </w:rPr>
        <w:t>Note 15—Segment Reporting</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its business through one reportable and operating segment that focuses on realizing value for shareholders primarily by generating cash flows through active asset management and sales of its existing loans, operating properties and land and development properties. The Company’s chief executive officer is the chief operating decision maker (“CODM”) and uses net income (loss), as reported on the Company’s consolidated statements of operations, to measure segment operating performance and allocate resources. All of the Company’s expenses are included in segment operating performance and are reviewed regularly. The measure of segment assets is reported on the Company’s consolidated balance sheets as total assets.</w:t>
      </w:r>
    </w:p>
    <w:p>
      <w:pPr>
        <w:pStyle w:val="TextBody"/>
        <w:bidi w:val="0"/>
        <w:spacing w:before="0" w:after="0"/>
        <w:ind w:left="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67" w:name="Item2ManagementsDiscussionandAnalysisofF"/>
      <w:bookmarkStart w:id="868" w:name="_060f8da4_1f6c_4a82_b58e_c66472b11c58"/>
      <w:bookmarkEnd w:id="867"/>
      <w:bookmarkEnd w:id="86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Star Holdings’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 “Risk Factors” in our Annual Report on Form 10-K for the year ended December 31, 2025 (the “2025 Annual Report”), all of which could affect our future results of operations, financial condition and liquidity. For purposes of Management’s Discussion and Analysis of Financial Condition and Results of Operations, the terms “we,” “our” and “us” refer to Star Holdings and its consolidated subsidiaries, unless the context indicates otherwise.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discussion below should be read in conjunction with our consolidated financial statements and related notes in this quarterly report on Form 10-Q and our 2025 Annual Report. These historical financial statements may not be indicative of our future performance.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Development Portfolio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pacing w:val="4"/>
          <w:sz w:val="20"/>
        </w:rPr>
      </w:pPr>
      <w:r>
        <w:rPr>
          <w:rFonts w:ascii="Times New Roman;Times;serif" w:hAnsi="Times New Roman;Times;serif"/>
          <w:i/>
          <w:spacing w:val="4"/>
          <w:sz w:val="20"/>
        </w:rPr>
        <w:t>Asbury Park Waterfront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the managing member in Asbury Partners, LLC, which is the joint venture that owns the Asbury Park Waterfront investment. The aggregate carrying value of the Asbury Park Waterfront investment was approximately $122.8 million as of March 31,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Asbury Park Waterfront investment includes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Ocean Club Surfside Resort and Residences: a 16-story mixed use project featuring 130 residential condominium units, a 54-key luxury boutique hotel, 24,000 square feet of retail space, 410 structured parking spaces and a 15,000 square foot gym and spa amenity area. The property was completed in 2019. The hotel is managed by a third party. As of March 31, 2026, all residential condominium units have been sold.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Asbury: a 110-key independent boutique hotel with indoor and outdoor event spaces, and a rooftop bar. The hotel was completed in 2016 and is managed by a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Lanes: a 12,000 square foot music and entertainment venue. The venue was completed in 2018, is connected to The Asbury and managed by a third party.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pacing w:val="4"/>
          <w:sz w:val="20"/>
          <w:shd w:fill="FFFFFF" w:val="clear"/>
        </w:rPr>
      </w:pPr>
      <w:r>
        <w:rPr>
          <w:rFonts w:ascii="Times New Roman;Times;serif" w:hAnsi="Times New Roman;Times;serif"/>
          <w:spacing w:val="4"/>
          <w:sz w:val="20"/>
          <w:shd w:fill="FFFFFF" w:val="clear"/>
        </w:rPr>
        <w:t>In addition to the operating assets, we also own remaining development sites. Our current strategy for the Asbury Park Waterfront investment is to actively asset manage our operating assets, and strategically monetize the remaining development sites and our operating assets through sales to third party developers and operators while meeting our obligations under the redevelopment agreement with the city of Asbury Park.</w:t>
      </w:r>
    </w:p>
    <w:p>
      <w:pPr>
        <w:pStyle w:val="TextBody"/>
        <w:bidi w:val="0"/>
        <w:spacing w:before="0" w:after="0"/>
        <w:ind w:left="0" w:right="0" w:firstLine="360"/>
        <w:jc w:val="left"/>
        <w:rPr>
          <w:spacing w:val="4"/>
          <w:shd w:fill="FFFFFF" w:val="clear"/>
        </w:rPr>
      </w:pPr>
      <w:r>
        <w:rPr>
          <w:spacing w:val="4"/>
          <w:shd w:fill="FFFFFF" w:val="clear"/>
        </w:rPr>
        <w:t>​</w:t>
      </w:r>
    </w:p>
    <w:p>
      <w:pPr>
        <w:pStyle w:val="TextBody"/>
        <w:bidi w:val="0"/>
        <w:spacing w:before="0" w:after="0"/>
        <w:ind w:left="0" w:right="0" w:hanging="0"/>
        <w:jc w:val="left"/>
        <w:rPr>
          <w:rFonts w:ascii="Times New Roman;Times;serif" w:hAnsi="Times New Roman;Times;serif"/>
          <w:i/>
          <w:spacing w:val="4"/>
          <w:sz w:val="20"/>
        </w:rPr>
      </w:pPr>
      <w:r>
        <w:rPr>
          <w:rFonts w:ascii="Times New Roman;Times;serif" w:hAnsi="Times New Roman;Times;serif"/>
          <w:i/>
          <w:spacing w:val="4"/>
          <w:sz w:val="20"/>
        </w:rPr>
        <w:t>Magnolia Green</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pacing w:val="4"/>
          <w:sz w:val="20"/>
        </w:rPr>
      </w:pPr>
      <w:r>
        <w:rPr>
          <w:rFonts w:ascii="Times New Roman;Times;serif" w:hAnsi="Times New Roman;Times;serif"/>
          <w:spacing w:val="4"/>
          <w:sz w:val="20"/>
        </w:rPr>
        <w:t>Magnolia Green is an approximately 1,900 acre multi-generational master planned residential community that is entitled for 3,550 single and multifamily dwelling units and approximately 193 acres of land for commercial development. The community is located 19 miles southwest of Richmond, Virginia and offers distinct phases designed for people in different life stages, from first home buyers to empty nesters in single family and townhomes built by the area’s top homebuilders. The project is anchored by the Magnolia Green Golf Club, a semi-private 18-hole Nicklaus Design championship golf course with full-service clubhouse and driving range. There are also numerous community amenities, including the Aquatic Center, featuring multiple pools and a snack bar, Arbor Walk, featuring a junior Olympic competition pool, water slide and sports courts, the Tennis Center, featuring tennis and pickleball courts and a pro shop, and miles of paved trails. The aggregate carrying value of our Magnolia Green assets as of March 31, 2026 was $30.8 million.</w:t>
      </w:r>
    </w:p>
    <w:p>
      <w:pPr>
        <w:pStyle w:val="TextBody"/>
        <w:bidi w:val="0"/>
        <w:spacing w:before="0" w:after="240"/>
        <w:ind w:left="0" w:right="0" w:firstLine="360"/>
        <w:jc w:val="both"/>
        <w:rPr>
          <w:rFonts w:ascii="Times New Roman;Times;serif" w:hAnsi="Times New Roman;Times;serif"/>
          <w:sz w:val="20"/>
        </w:rPr>
      </w:pPr>
      <w:r>
        <w:rPr>
          <w:rFonts w:ascii="TimesNewRomanPSMT" w:hAnsi="TimesNewRomanPSMT"/>
          <w:sz w:val="20"/>
        </w:rPr>
        <w:t xml:space="preserve">As of March 31, 2026, 2,240 residential lots have been sold to homebuilders. </w:t>
      </w:r>
      <w:r>
        <w:rPr>
          <w:rFonts w:ascii="Times New Roman;Times;serif" w:hAnsi="Times New Roman;Times;serif"/>
          <w:spacing w:val="4"/>
          <w:sz w:val="20"/>
          <w:shd w:fill="FFFFFF" w:val="clear"/>
        </w:rPr>
        <w:t>We anticipate selling our remaining residential lots to homebuilders either upon completion of horizontal lot development or in bulk as unimproved lots. We currently expect such sales to occur over the next two years; however, it could take substantially longer. We anticipate selling the golf course operations to a third party upon completion of residential lot sellout. There can be no assurance, however, that these sales will be completed.</w:t>
      </w:r>
    </w:p>
    <w:p>
      <w:pPr>
        <w:pStyle w:val="TextBody"/>
        <w:bidi w:val="0"/>
        <w:spacing w:before="0" w:after="0"/>
        <w:ind w:left="0" w:right="0" w:hanging="0"/>
        <w:jc w:val="left"/>
        <w:rPr>
          <w:rFonts w:ascii="Times New Roman;Times;serif" w:hAnsi="Times New Roman;Times;serif"/>
          <w:b/>
          <w:spacing w:val="-4"/>
          <w:sz w:val="20"/>
        </w:rPr>
      </w:pPr>
      <w:r>
        <w:rPr>
          <w:rFonts w:ascii="Times New Roman;Times;serif" w:hAnsi="Times New Roman;Times;serif"/>
          <w:b/>
          <w:spacing w:val="-4"/>
          <w:sz w:val="20"/>
        </w:rPr>
        <w:t>Our Monetizing Portfolio</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pacing w:val="4"/>
          <w:sz w:val="20"/>
        </w:rPr>
        <w:t>As of March 31, 2026, we owned assets that we expect to monetize primarily through asset sales, loan repayments or active asset management. These assets had an aggregate carrying value of approximately</w:t>
      </w:r>
      <w:r>
        <w:rPr>
          <w:rFonts w:ascii="Times New Roman;Times;serif" w:hAnsi="Times New Roman;Times;serif"/>
          <w:sz w:val="20"/>
        </w:rPr>
        <w:t xml:space="preserve"> </w:t>
      </w:r>
      <w:r>
        <w:rPr>
          <w:rFonts w:ascii="Times New Roman;Times;serif" w:hAnsi="Times New Roman;Times;serif"/>
          <w:spacing w:val="4"/>
          <w:sz w:val="20"/>
        </w:rPr>
        <w:t>$71.5 million and were comprised primarily of loans and other lending investments, operating properties, land and other assets. Summarized information regarding these assets is set forth below.</w:t>
      </w:r>
    </w:p>
    <w:p>
      <w:pPr>
        <w:pStyle w:val="TextBody"/>
        <w:shd w:fill="FFFFFF" w:val="clear"/>
        <w:bidi w:val="0"/>
        <w:spacing w:before="0" w:after="0"/>
        <w:ind w:left="0" w:right="0" w:firstLine="72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Loans and other lending investments</w:t>
      </w:r>
      <w:r>
        <w:rPr>
          <w:rFonts w:ascii="Times New Roman;Times;serif" w:hAnsi="Times New Roman;Times;serif"/>
          <w:i/>
          <w:spacing w:val="4"/>
          <w:sz w:val="20"/>
        </w:rPr>
        <w:t>.</w:t>
      </w:r>
      <w:r>
        <w:rPr>
          <w:rFonts w:ascii="Times New Roman;Times;serif" w:hAnsi="Times New Roman;Times;serif"/>
          <w:spacing w:val="4"/>
          <w:sz w:val="20"/>
        </w:rPr>
        <w:t xml:space="preserve">   The loans and other lending investments included in our monetizing portfolio as of March 31, 2026 </w:t>
      </w:r>
      <w:r>
        <w:rPr>
          <w:rFonts w:ascii="Times New Roman;Times;serif" w:hAnsi="Times New Roman;Times;serif"/>
          <w:spacing w:val="4"/>
          <w:sz w:val="20"/>
          <w:shd w:fill="FFFFFF" w:val="clear"/>
        </w:rPr>
        <w:t>includes one loan with a carrying value of $16.1 million and ten available-for-sale debt securities with an aggregate carrying value of $38.2 million.</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Land</w:t>
      </w:r>
      <w:r>
        <w:rPr>
          <w:rFonts w:ascii="Times New Roman;Times;serif" w:hAnsi="Times New Roman;Times;serif"/>
          <w:i/>
          <w:spacing w:val="4"/>
          <w:sz w:val="20"/>
        </w:rPr>
        <w:t>.</w:t>
      </w:r>
      <w:r>
        <w:rPr>
          <w:rFonts w:ascii="Times New Roman;Times;serif" w:hAnsi="Times New Roman;Times;serif"/>
          <w:spacing w:val="4"/>
          <w:sz w:val="20"/>
        </w:rPr>
        <w:t>   </w:t>
      </w:r>
      <w:r>
        <w:rPr>
          <w:rFonts w:ascii="Times New Roman;Times;serif" w:hAnsi="Times New Roman;Times;serif"/>
          <w:spacing w:val="4"/>
          <w:sz w:val="20"/>
          <w:shd w:fill="FFFFFF" w:val="clear"/>
        </w:rPr>
        <w:t>The land asset included in our portfolio as of </w:t>
      </w:r>
      <w:r>
        <w:rPr>
          <w:rFonts w:ascii="TimesNewRomanPSMT" w:hAnsi="TimesNewRomanPSMT"/>
          <w:sz w:val="20"/>
          <w:shd w:fill="FFFFFF" w:val="clear"/>
        </w:rPr>
        <w:t>March 31, 2026</w:t>
      </w:r>
      <w:r>
        <w:rPr>
          <w:rFonts w:ascii="Times New Roman;Times;serif" w:hAnsi="Times New Roman;Times;serif"/>
          <w:spacing w:val="4"/>
          <w:sz w:val="20"/>
          <w:shd w:fill="FFFFFF" w:val="clear"/>
        </w:rPr>
        <w:t> has a carrying value of approximately $14.4 million. Our general strategy is to seek to sell the land to third party developers.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Other</w:t>
      </w:r>
      <w:r>
        <w:rPr>
          <w:rFonts w:ascii="Times New Roman;Times;serif" w:hAnsi="Times New Roman;Times;serif"/>
          <w:i/>
          <w:spacing w:val="4"/>
          <w:sz w:val="20"/>
        </w:rPr>
        <w:t>.</w:t>
      </w:r>
      <w:r>
        <w:rPr>
          <w:rFonts w:ascii="Times New Roman;Times;serif" w:hAnsi="Times New Roman;Times;serif"/>
          <w:spacing w:val="4"/>
          <w:sz w:val="20"/>
        </w:rPr>
        <w:t>   </w:t>
      </w:r>
      <w:r>
        <w:rPr>
          <w:rFonts w:ascii="Times New Roman;Times;serif" w:hAnsi="Times New Roman;Times;serif"/>
          <w:spacing w:val="4"/>
          <w:sz w:val="20"/>
          <w:shd w:fill="FFFFFF" w:val="clear"/>
        </w:rPr>
        <w:t xml:space="preserve">The remainder of the monetizing assets primarily consist of two properties which had an aggregate carrying value of $2.7 million as of </w:t>
      </w:r>
      <w:r>
        <w:rPr>
          <w:rFonts w:ascii="TimesNewRomanPSMT" w:hAnsi="TimesNewRomanPSMT"/>
          <w:sz w:val="20"/>
          <w:shd w:fill="FFFFFF" w:val="clear"/>
        </w:rPr>
        <w:t>March 31, 2026</w:t>
      </w:r>
      <w:r>
        <w:rPr>
          <w:rFonts w:ascii="Times New Roman;Times;serif" w:hAnsi="Times New Roman;Times;serif"/>
          <w:spacing w:val="4"/>
          <w:sz w:val="20"/>
          <w:shd w:fill="FFFFFF" w:val="clear"/>
        </w:rPr>
        <w:t> a group of loans and equity interests that are recorded as having no carrying value in our financial statements. Both properties are leased to us under short term leases and one is subleased by us to a third party. Our general strategy is to monetize the leased assets, although we may hold them until lease expiration. For the assets with no carrying value, we may seek to sell these assets but can give no assurance that we will recover any value from them</w:t>
      </w:r>
    </w:p>
    <w:p>
      <w:pPr>
        <w:pStyle w:val="TextBody"/>
        <w:bidi w:val="0"/>
        <w:spacing w:before="0" w:after="0"/>
        <w:ind w:left="0" w:right="0" w:firstLine="400"/>
        <w:jc w:val="left"/>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Investment in Safe</w:t>
      </w:r>
      <w:r>
        <w:rPr>
          <w:rFonts w:ascii="Times New Roman;Times;serif" w:hAnsi="Times New Roman;Times;serif"/>
          <w:spacing w:val="4"/>
          <w:sz w:val="20"/>
        </w:rPr>
        <w:t xml:space="preserve">.   In addition to the assets described above, we also own the Safe Shares which had a fair value of $183.0 million based on the closing price of $13.53 as of March 31, 2026. </w:t>
      </w:r>
      <w:r>
        <w:rPr>
          <w:rFonts w:ascii="Times New Roman;Times;serif" w:hAnsi="Times New Roman;Times;serif"/>
          <w:spacing w:val="4"/>
          <w:sz w:val="20"/>
          <w:shd w:fill="FFFFFF" w:val="clear"/>
        </w:rPr>
        <w:t>Our Margin Loan Facility is collateralized by the Safe Shares as of the date of this filing. The net proceeds from the sale of any Safe Shares must be applied in accordance with the terms of the Margin Loan Facility.</w:t>
      </w:r>
    </w:p>
    <w:p>
      <w:pPr>
        <w:pStyle w:val="TextBody"/>
        <w:bidi w:val="0"/>
        <w:spacing w:before="0" w:after="0"/>
        <w:ind w:left="0" w:right="0" w:firstLine="400"/>
        <w:jc w:val="both"/>
        <w:rPr>
          <w:spacing w:val="4"/>
        </w:rPr>
      </w:pPr>
      <w:r>
        <w:rPr>
          <w:spacing w:val="4"/>
        </w:rPr>
        <w:t>​</w:t>
      </w:r>
    </w:p>
    <w:p>
      <w:pPr>
        <w:pStyle w:val="TextBody"/>
        <w:bidi w:val="0"/>
        <w:spacing w:before="0" w:after="0"/>
        <w:ind w:left="0" w:right="0" w:firstLine="360"/>
        <w:jc w:val="both"/>
        <w:rPr>
          <w:rFonts w:ascii="Times New Roman;Times;serif" w:hAnsi="Times New Roman;Times;serif"/>
          <w:spacing w:val="4"/>
          <w:sz w:val="20"/>
          <w:shd w:fill="FFFFFF" w:val="clear"/>
        </w:rPr>
      </w:pPr>
      <w:r>
        <w:rPr>
          <w:rFonts w:ascii="Times New Roman;Times;serif" w:hAnsi="Times New Roman;Times;serif"/>
          <w:spacing w:val="4"/>
          <w:sz w:val="20"/>
          <w:shd w:fill="FFFFFF" w:val="clear"/>
        </w:rPr>
        <w:t xml:space="preserve">Declines in the market value of the Safe Shares could require us to make prepayments of some or all of the outstanding borrowings under the Margin Loan Facility or post additional cash collateral. Accessing incremental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pacing w:val="4"/>
          <w:sz w:val="20"/>
          <w:shd w:fill="FFFFFF" w:val="clear"/>
        </w:rPr>
      </w:pPr>
      <w:r>
        <w:rPr>
          <w:rFonts w:ascii="Times New Roman;Times;serif" w:hAnsi="Times New Roman;Times;serif"/>
          <w:spacing w:val="4"/>
          <w:sz w:val="20"/>
          <w:shd w:fill="FFFFFF" w:val="clear"/>
        </w:rPr>
        <w:t>borrowings under the Safe Credit Facility will increase our interest expense because the interest rate on all borrowings increases to 10.0% per annum while incremental borrowings remain outstanding.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for the Three Months Ended </w:t>
      </w:r>
      <w:r>
        <w:rPr>
          <w:rFonts w:ascii="Times New Roman;Times;serif" w:hAnsi="Times New Roman;Times;serif"/>
          <w:b/>
          <w:spacing w:val="4"/>
          <w:sz w:val="20"/>
        </w:rPr>
        <w:t>March 31, 2026</w:t>
      </w:r>
      <w:r>
        <w:rPr>
          <w:rFonts w:ascii="Times New Roman;Times;serif" w:hAnsi="Times New Roman;Times;serif"/>
          <w:b/>
          <w:sz w:val="20"/>
        </w:rPr>
        <w:t xml:space="preserve"> compared to the Three Months Ended </w:t>
      </w:r>
      <w:r>
        <w:rPr>
          <w:rFonts w:ascii="Times New Roman;Times;serif" w:hAnsi="Times New Roman;Times;serif"/>
          <w:b/>
          <w:spacing w:val="4"/>
          <w:sz w:val="20"/>
        </w:rPr>
        <w:t>March 31. 2025</w:t>
      </w:r>
      <w:r>
        <w:rPr>
          <w:rFonts w:ascii="Times New Roman;Times;serif" w:hAnsi="Times New Roman;Times;serif"/>
          <w:b/>
          <w:sz w:val="20"/>
        </w:rPr>
        <w:t xml:space="preserve"> </w:t>
      </w:r>
    </w:p>
    <w:tbl>
      <w:tblPr>
        <w:tblW w:w="7555" w:type="dxa"/>
        <w:jc w:val="left"/>
        <w:tblInd w:w="0" w:type="dxa"/>
        <w:tblLayout w:type="fixed"/>
        <w:tblCellMar>
          <w:top w:w="0" w:type="dxa"/>
          <w:left w:w="0" w:type="dxa"/>
          <w:bottom w:w="0" w:type="dxa"/>
          <w:right w:w="0" w:type="dxa"/>
        </w:tblCellMar>
      </w:tblPr>
      <w:tblGrid>
        <w:gridCol w:w="3661"/>
        <w:gridCol w:w="346"/>
        <w:gridCol w:w="211"/>
        <w:gridCol w:w="796"/>
        <w:gridCol w:w="346"/>
        <w:gridCol w:w="211"/>
        <w:gridCol w:w="691"/>
        <w:gridCol w:w="346"/>
        <w:gridCol w:w="211"/>
        <w:gridCol w:w="73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324735" cy="175260"/>
                      <wp:effectExtent l="0" t="0" r="0" b="0"/>
                      <wp:wrapNone/>
                      <wp:docPr id="232" name="Frame232"/>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5460" cy="175260"/>
                      <wp:effectExtent l="0" t="0" r="0" b="0"/>
                      <wp:wrapNone/>
                      <wp:docPr id="235" name="Frame2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785" cy="175260"/>
                      <wp:effectExtent l="0" t="0" r="0" b="0"/>
                      <wp:wrapNone/>
                      <wp:docPr id="238" name="Frame2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67360" cy="175260"/>
                      <wp:effectExtent l="0" t="0" r="0" b="0"/>
                      <wp:wrapNone/>
                      <wp:docPr id="241" name="Frame2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755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4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7,390</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equity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—Operating lease income, which primarily includes income from commercial operating properties, was $2.0 million and $1.9 million, respectively, during the three months ended March 31, 2026 and 2025. The increase in 2026 was due primarily to one property beginning operations in September 2025, which was partially offset by a lease expiration in December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decreased to $0.5 million for the three months ended March 31, 2026 from $1.1 million for the same period in 2025. </w:t>
      </w:r>
      <w:r>
        <w:rPr>
          <w:rFonts w:ascii="Times New Roman;Times;serif" w:hAnsi="Times New Roman;Times;serif"/>
          <w:sz w:val="20"/>
          <w:shd w:fill="FFFFFF" w:val="clear"/>
        </w:rPr>
        <w:t>The decrease in interest income was due primarily to a decrease in the average balance of our performing loans and other lending investments due to loan repayments.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income increased to $7.4 million during the three months ended March 31, 2026 from $6.5 million for the same period in 2025. </w:t>
      </w:r>
      <w:r>
        <w:rPr>
          <w:rFonts w:ascii="Times New Roman;Times;serif" w:hAnsi="Times New Roman;Times;serif"/>
          <w:spacing w:val="4"/>
          <w:sz w:val="20"/>
        </w:rPr>
        <w:t xml:space="preserve">Other income consists primarily of dividend income from our investment in Safe and income from our hotel properties and other operating properties, including Asbury Lanes and the Magnolia Green Golf Club, and other ancillary income. The increase in other income in 2026 was due primarily to $1.0 million </w:t>
      </w:r>
      <w:r>
        <w:rPr>
          <w:rFonts w:ascii="Times New Roman;Times;serif" w:hAnsi="Times New Roman;Times;serif"/>
          <w:sz w:val="20"/>
        </w:rPr>
        <w:t>related to a legal settlement with respect to one of iStar’s (refer to Note 1 to the consolidated financial statements) legacy assets. This amount was recorded upon settlement due to uncertainty regarding collectability of the funds and represents the gross amount of the settlement.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Land development revenue and cost of sales</w:t>
      </w:r>
      <w:r>
        <w:rPr>
          <w:rFonts w:ascii="Times New Roman;Times;serif" w:hAnsi="Times New Roman;Times;serif"/>
          <w:sz w:val="20"/>
        </w:rPr>
        <w:t xml:space="preserve">—During the three months ended March 31, 2026, we </w:t>
      </w:r>
      <w:r>
        <w:rPr>
          <w:rFonts w:ascii="Times New Roman;Times;serif" w:hAnsi="Times New Roman;Times;serif"/>
          <w:spacing w:val="4"/>
          <w:sz w:val="20"/>
        </w:rPr>
        <w:t xml:space="preserve">sold </w:t>
      </w:r>
      <w:r>
        <w:rPr>
          <w:rFonts w:ascii="Times New Roman;Times;serif" w:hAnsi="Times New Roman;Times;serif"/>
          <w:sz w:val="20"/>
        </w:rPr>
        <w:t xml:space="preserve">residential lots and units and recognized land development revenue of $11.0 million which had associated cost of sales of $9.3 million. During the three months ended March 31, 2025, we sold residential lots and recognized land development revenue of $5.2 million which had associated cost of sales of $6.8 million. The increase in 2026 was primarily due to a bulk sale at our Asbury Park property in 2026 (refer to Note 5 to the consolidated financial statements). </w:t>
      </w:r>
      <w:r>
        <w:rPr>
          <w:rFonts w:ascii="Times New Roman;Times;serif" w:hAnsi="Times New Roman;Times;serif"/>
          <w:spacing w:val="4"/>
          <w:sz w:val="20"/>
        </w:rPr>
        <w:t>As we execute future sales and have fewer remaining residential and development assets, we expect our land development revenue will decline. The timing and amount of such sales cannot be predicted with certainty.</w:t>
      </w:r>
      <w:r>
        <w:rPr>
          <w:rFonts w:ascii="Times New Roman;Times;serif" w:hAnsi="Times New Roman;Times;serif"/>
          <w:sz w:val="20"/>
        </w:rPr>
        <w:t xml:space="preserve">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Costs and expenses</w:t>
      </w:r>
      <w:r>
        <w:rPr>
          <w:rFonts w:ascii="Times New Roman;Times;serif" w:hAnsi="Times New Roman;Times;serif"/>
          <w:sz w:val="20"/>
        </w:rPr>
        <w:t>—</w:t>
      </w:r>
      <w:r>
        <w:rPr>
          <w:rFonts w:ascii="Times New Roman;Times;serif" w:hAnsi="Times New Roman;Times;serif"/>
          <w:spacing w:val="4"/>
          <w:sz w:val="20"/>
        </w:rPr>
        <w:t xml:space="preserve">For the three months ended March 31, 2026, we incurred $2.3 million of interest expense on the Safe Credit Facility, $1.7 million of interest expense on our Margin Loan Facility, net of amounts capitalized and $2.1 million on the Loan (refer to Note 9 to the consolidated financial statements). </w:t>
      </w:r>
      <w:r>
        <w:rPr>
          <w:rFonts w:ascii="Times New Roman;Times;serif" w:hAnsi="Times New Roman;Times;serif"/>
          <w:sz w:val="20"/>
        </w:rPr>
        <w:t xml:space="preserve">We may elect to pay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kind ("PIK") on the Margin Loan Facility in respect of certain quarterly interest payments and such PIK has been added to the principal balance on the Margin Loan Facility. The applicable margin on the Margin Loan Facility increases by 25 basis points for the entirety of the interest period immediately succeeding any interest period with respect to which we make a PIK election. </w:t>
      </w:r>
      <w:r>
        <w:rPr>
          <w:rFonts w:ascii="Times New Roman;Times;serif" w:hAnsi="Times New Roman;Times;serif"/>
          <w:spacing w:val="4"/>
          <w:sz w:val="20"/>
        </w:rPr>
        <w:t>For the three months ended March 31, 2025, we incurred $2.2 million of interest expense on the Safe Credit Facility and $1.6 million of interest expense on our Margin Loan Facility, net of amounts capitalized.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Real estate expense was $11.5 million during the three months ended March 31, 2026 and $9.7 million for the same period in 2025. Real estate expense typically includes expenses at our hotel and retail operating properties and land properties. The increase in 2026 was due primarily to one property beginning operations in September 2025 and $0.5 million of expense related to a legal settlement with respect to one of iStar’s (refer to Note 1) legacy assets. This amount was recorded upon settlement due to uncertainty regarding payment, which was contingent on the settlement.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was $2.2 million during the three months ended March 31, 2026 and $1.0 million for the same period in 2025. The increase in 2026 was due primarily to one property beginning operations in September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pacing w:val="4"/>
          <w:sz w:val="20"/>
        </w:rPr>
        <w:t xml:space="preserve">During the three months ended March 31, 2026, we incurred $3.3 million of general and administrative expense, primarily resulting from management fees to Safe and director costs. The annual management fee payable to our Manager under the Management Agreement declined from $15.0 million to $10.0 million for the third annual term of the Management Agreement which ended on March 31, 2026, and further declined to $7.5 million for the annual term ending March 31, 2027. </w:t>
      </w:r>
      <w:r>
        <w:rPr>
          <w:rFonts w:ascii="Times New Roman;Times;serif" w:hAnsi="Times New Roman;Times;serif"/>
          <w:spacing w:val="4"/>
          <w:sz w:val="20"/>
          <w:shd w:fill="FFFFFF" w:val="clear"/>
        </w:rPr>
        <w:t>During the three months ended March 31, 2025, we incurred $4.7 million of general and administrative expense, primarily resulting from management fees to Safe and director fees. The decrease in 2026 was due primarily to a decrease in management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loan losses was $0.4 million for the three months ended March 31, 2026 as compared to a recovery of loan losses of $0.1 million for the same period in 2025. The provision for loan losses for the three months ended March 31, 2026 resulted primarily from a $0.5 million charge-off on a loan that was repaid</w:t>
      </w:r>
      <w:r>
        <w:rPr>
          <w:rFonts w:ascii="Times New Roman;Times;serif" w:hAnsi="Times New Roman;Times;serif"/>
          <w:sz w:val="20"/>
          <w:shd w:fill="FFFFFF" w:val="clear"/>
        </w:rPr>
        <w:t>. The recovery of loan losses for the three months ended March 31, 2025 resulted primarily from a partial repayment on a loan during the period and an improving economic forecast.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 was $0.4 million during the three months ended March 31, 2026 and $3 thousand for the same period in 2025. Other expense for the three months ended March 31, 2026 resulted primarily from a loss on deconsolidation of a venture (refer to Note 5 to the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Unrealized gain (loss) on equity investment represents the unrealized gain or loss on our Safe Shares. We account for our Safe Shares as an equity investment under ASC 321, which requires that we adjust our investment in the Safe Shares to fair value through income at each reporting period. The unrealized loss for the three months ended March 31, 2026 represents the difference between the fair value of our investment in the Safe Shares as of March 31, 2026 and December 31, 2025. </w:t>
      </w:r>
      <w:r>
        <w:rPr>
          <w:rFonts w:ascii="Times New Roman;Times;serif" w:hAnsi="Times New Roman;Times;serif"/>
          <w:sz w:val="20"/>
          <w:shd w:fill="FFFFFF" w:val="clear"/>
        </w:rPr>
        <w:t xml:space="preserve">The unrealized gain for the three months ended March 31, 2025 represents the difference between the fair value of our investment in the Safe Shares as of </w:t>
      </w:r>
      <w:r>
        <w:rPr>
          <w:rFonts w:ascii="Times New Roman;Times;serif" w:hAnsi="Times New Roman;Times;serif"/>
          <w:sz w:val="20"/>
        </w:rPr>
        <w:t>March 31, 2025 and December 31, 2024</w:t>
      </w:r>
      <w:r>
        <w:rPr>
          <w:rFonts w:ascii="Times New Roman;Times;serif" w:hAnsi="Times New Roman;Times;serif"/>
          <w:sz w:val="20"/>
          <w:shd w:fill="FFFFFF" w:val="clea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Loss on early extinguishment of debt during the three months ended March 31, 2025 resulted from the partial repayment of the Margin Loan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Liquidity is a measure of our ability to meet potential cash requirements, including to pay interest and repay borrowings, develop our assets and maintain our operations, make distributions to our shareholders and meet other general business needs. We were formed in 2023 and we have not paid any dividends. We do not expect to pay regular dividends. We intend to make distributions of available cash from time to time, primarily dependent upon our ability to sell assets and the prices at which we sell our assets.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sources of cash will be largely dependent on asset sales, which are difficult to predict in terms of timing and amount. While we may be able to anticipate and plan for certain liquidity needs, there may be unexpected increases in uses of cash that are beyond our control and which would affect our financial position, liquidity and results of operations,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as prepayments on the Margin Loan Facility resulting from declines in the market value of the Safe Shares. Even if there are no material changes to our anticipated liquidity requirements, our sources of liquidity may be fewer than, and the funds available from such sources may be less than, anticipated or needed. Our primary sources of liquidity will generally consist of our cash on hand and proceeds from asset sales.  </w:t>
      </w:r>
      <w:r>
        <w:rPr>
          <w:rFonts w:ascii="Times New Roman;Times;serif" w:hAnsi="Times New Roman;Times;serif"/>
          <w:sz w:val="20"/>
        </w:rPr>
        <w:t>We expect our short-term and long-term liquidity requirements to include:</w:t>
      </w:r>
    </w:p>
    <w:tbl>
      <w:tblPr>
        <w:tblW w:w="8539" w:type="dxa"/>
        <w:jc w:val="left"/>
        <w:tblInd w:w="0" w:type="dxa"/>
        <w:tblLayout w:type="fixed"/>
        <w:tblCellMar>
          <w:top w:w="28" w:type="dxa"/>
          <w:left w:w="28" w:type="dxa"/>
          <w:bottom w:w="28" w:type="dxa"/>
          <w:right w:w="28" w:type="dxa"/>
        </w:tblCellMar>
      </w:tblPr>
      <w:tblGrid>
        <w:gridCol w:w="124"/>
        <w:gridCol w:w="256"/>
        <w:gridCol w:w="815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capital expenditures on our Asbury Park Waterfront and Magnolia Green development projects;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debt service on the Safe Credit Facility and the Margin Loan Facility (refer to Note 9 to the consolidated financial statements), and any other indebtedness including any repurchase agreements;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or refinancing of the Margin Loan Facility and the Safe Credit Facility at their respective maturities;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management fees and expense reimbursements payable to our Manager</w:t>
            </w:r>
            <w:r>
              <w:rPr>
                <w:caps w:val="false"/>
                <w:smallCaps w:val="false"/>
              </w:rPr>
              <w:t xml:space="preserve"> </w:t>
            </w:r>
            <w:r>
              <w:rPr>
                <w:rFonts w:ascii="Times New Roman;Times;serif" w:hAnsi="Times New Roman;Times;serif"/>
                <w:b w:val="false"/>
                <w:i w:val="false"/>
                <w:caps w:val="false"/>
                <w:smallCaps w:val="false"/>
                <w:sz w:val="20"/>
              </w:rPr>
              <w:t>(refer to Note 7 to the consolidated financial statements)</w:t>
            </w:r>
            <w:r>
              <w:rPr>
                <w:rFonts w:ascii="Times New Roman;Times;serif" w:hAnsi="Times New Roman;Times;serif"/>
                <w:b w:val="false"/>
                <w:i w:val="false"/>
                <w:caps w:val="false"/>
                <w:smallCaps w:val="false"/>
                <w:spacing w:val="4"/>
                <w:sz w:val="20"/>
              </w:rPr>
              <w:t>;</w:t>
            </w:r>
          </w:p>
        </w:tc>
      </w:tr>
    </w:tbl>
    <w:p>
      <w:pPr>
        <w:pStyle w:val="TextBody"/>
        <w:bidi w:val="0"/>
        <w:spacing w:before="0" w:after="0"/>
        <w:ind w:left="0" w:right="0" w:hanging="0"/>
        <w:jc w:val="left"/>
        <w:rPr/>
      </w:pPr>
      <w:r>
        <w:rPr/>
        <w:t>​</w:t>
      </w:r>
    </w:p>
    <w:tbl>
      <w:tblPr>
        <w:tblW w:w="2568" w:type="dxa"/>
        <w:jc w:val="left"/>
        <w:tblInd w:w="0" w:type="dxa"/>
        <w:tblLayout w:type="fixed"/>
        <w:tblCellMar>
          <w:top w:w="28" w:type="dxa"/>
          <w:left w:w="28" w:type="dxa"/>
          <w:bottom w:w="28" w:type="dxa"/>
          <w:right w:w="28" w:type="dxa"/>
        </w:tblCellMar>
      </w:tblPr>
      <w:tblGrid>
        <w:gridCol w:w="124"/>
        <w:gridCol w:w="256"/>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operating expenses;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distributions to shareholders if we have excess cash on hand from asset sales after the payment of our debt obligations.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expect to meet our short-term liquidity requirements through any cash flows from operations, proceeds from asset sales, borrowings on available debt facilities and our unrestricted cash. </w:t>
      </w:r>
      <w:r>
        <w:rPr>
          <w:rFonts w:ascii="Times New Roman;Times;serif" w:hAnsi="Times New Roman;Times;serif"/>
          <w:spacing w:val="4"/>
          <w:sz w:val="20"/>
          <w:shd w:fill="FFFFFF" w:val="clear"/>
        </w:rPr>
        <w:t>We expect to meet our long-term liquidity requirements through any cash flows from operations and proceeds from asset sales and through refinancing maturing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Our future cash sources will be largely dependent on proceeds from asset sales. The amount and timing of asset sales, including the sale of Safe Shares, could be adversely affected by a number of factors, some of which are outside of our control, including the macroeconomic factors discussed below. We cannot predict with certainty the specific transactions we will undertake to generate sufficient liquidity to meet our obligations as they come due. We will adjust our plans as appropriate in response to changes in our expectations and changes in market conditions. The uncertainty related to macroeconomic factors such as inflation, changes in interest rates, market volatility, disruptions in the banking sector, tariff policy, geopolitical uncertainty and the availability of financing, and the effects of these factors on the economy generally and on the commercial real estate markets in which we operate, make it</w:t>
      </w:r>
      <w:r>
        <w:rPr>
          <w:rFonts w:ascii="Times New Roman;Times;serif" w:hAnsi="Times New Roman;Times;serif"/>
          <w:spacing w:val="4"/>
          <w:sz w:val="20"/>
          <w:shd w:fill="FFFFFF" w:val="clear"/>
        </w:rPr>
        <w:t> impossible for us to predict or to quantify the impact of these or other trends on our financial results or liquidity.</w:t>
      </w:r>
    </w:p>
    <w:p>
      <w:pPr>
        <w:pStyle w:val="TextBody"/>
        <w:bidi w:val="0"/>
        <w:spacing w:before="0" w:after="240"/>
        <w:ind w:left="0" w:right="0" w:firstLine="360"/>
        <w:jc w:val="both"/>
        <w:rPr>
          <w:spacing w:val="4"/>
          <w:shd w:fill="FFFFFF" w:val="clear"/>
        </w:rPr>
      </w:pPr>
      <w:r>
        <w:rPr>
          <w:spacing w:val="4"/>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following table outlines our cash flows from operating activities, cash flows from investing activities and cash flows from financing activities for the three months ended March 31, 2026 and 2025 ($ in thousands): </w:t>
      </w:r>
    </w:p>
    <w:p>
      <w:pPr>
        <w:pStyle w:val="TextBody"/>
        <w:bidi w:val="0"/>
        <w:spacing w:before="0" w:after="240"/>
        <w:ind w:left="0" w:right="0" w:firstLine="360"/>
        <w:jc w:val="both"/>
        <w:rPr>
          <w:shd w:fill="FFFFFF" w:val="clear"/>
        </w:rPr>
      </w:pPr>
      <w:r>
        <w:rPr>
          <w:shd w:fill="FFFFFF" w:val="clear"/>
        </w:rPr>
        <w:t>​</w:t>
      </w:r>
    </w:p>
    <w:tbl>
      <w:tblPr>
        <w:tblW w:w="7484" w:type="dxa"/>
        <w:jc w:val="left"/>
        <w:tblInd w:w="0" w:type="dxa"/>
        <w:tblLayout w:type="fixed"/>
        <w:tblCellMar>
          <w:top w:w="0" w:type="dxa"/>
          <w:left w:w="0" w:type="dxa"/>
          <w:bottom w:w="0" w:type="dxa"/>
          <w:right w:w="0" w:type="dxa"/>
        </w:tblCellMar>
      </w:tblPr>
      <w:tblGrid>
        <w:gridCol w:w="3871"/>
        <w:gridCol w:w="346"/>
        <w:gridCol w:w="308"/>
        <w:gridCol w:w="994"/>
        <w:gridCol w:w="545"/>
        <w:gridCol w:w="308"/>
        <w:gridCol w:w="11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458085" cy="175260"/>
                      <wp:effectExtent l="0" t="0" r="0" b="0"/>
                      <wp:wrapNone/>
                      <wp:docPr id="242" name="Frame24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5580" cy="175260"/>
                      <wp:effectExtent l="0" t="0" r="0" b="0"/>
                      <wp:wrapNone/>
                      <wp:docPr id="244" name="Frame24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31190" cy="175260"/>
                      <wp:effectExtent l="0" t="0" r="0" b="0"/>
                      <wp:wrapNone/>
                      <wp:docPr id="245" name="Frame245"/>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46075" cy="175260"/>
                      <wp:effectExtent l="0" t="0" r="0" b="0"/>
                      <wp:wrapNone/>
                      <wp:docPr id="246" name="Frame246"/>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5580" cy="175260"/>
                      <wp:effectExtent l="0" t="0" r="0" b="0"/>
                      <wp:wrapNone/>
                      <wp:docPr id="247" name="Frame24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06120" cy="175260"/>
                      <wp:effectExtent l="0" t="0" r="0" b="0"/>
                      <wp:wrapNone/>
                      <wp:docPr id="248" name="Frame248"/>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Three Months Ended March 31,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45" w:type="dxa"/>
            <w:tcBorders/>
            <w:vAlign w:val="center"/>
          </w:tcPr>
          <w:p>
            <w:pPr>
              <w:pStyle w:val="TableContents"/>
              <w:bidi w:val="0"/>
              <w:spacing w:before="0" w:after="1"/>
              <w:ind w:left="0" w:right="0" w:hanging="0"/>
              <w:jc w:val="left"/>
              <w:rPr/>
            </w:pPr>
            <w:r>
              <w:rPr/>
              <w:t>  ​ ​ ​</w:t>
            </w:r>
          </w:p>
        </w:tc>
        <w:tc>
          <w:tcPr>
            <w:tcW w:w="14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(8,398)</w:t>
            </w:r>
          </w:p>
        </w:tc>
        <w:tc>
          <w:tcPr>
            <w:tcW w:w="545"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w:t>
            </w:r>
          </w:p>
        </w:tc>
        <w:tc>
          <w:tcPr>
            <w:tcW w:w="545"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(8,276)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2,659</w:t>
            </w:r>
          </w:p>
        </w:tc>
        <w:tc>
          <w:tcPr>
            <w:tcW w:w="545"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112"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12,089</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cash flows used in operating activities during 2026 was due primarily to a real estate property beginning operations in the second half of 2025. The increase in cash flows from investing activities during 2026 was due primarily to a decrease in capital expenditures on land and development assets, an increase in proceeds received from sales of land and development assets, which was partially offset by the purchase of other lending investments and the deconsolidation of a venture in 2026. The decrease in cash flows provided by financing activities during 2026 was due primarily to a net decrease in borrowings on debt obligations and the repurchase of common stock in 2026.</w:t>
      </w:r>
    </w:p>
    <w:p>
      <w:pPr>
        <w:pStyle w:val="TextBody"/>
        <w:bidi w:val="0"/>
        <w:spacing w:before="0" w:after="24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 xml:space="preserve">—The Margin Loan Facility requires that we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we may be required to prepay all amounts due under the Margin Loan Facility or post additional collateral in accordance with the Margin Loan Facility and related agreements. As part of the amendment to the Margin Loan Facility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that we entered into on March 28, 2025, the loan-to-value ratios that would require us to post additional collateral with the lender or permit us to request a release of collateral were eased from then existing levels.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Safe Credit Facility requires that we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Safe to, among other things, declare the principal, accrued interest and other obligations of ours under the Safe Credit Facility to be immediately due and payable and foreclose on the collateral securing the Safe Credit Facility.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we were in compliance with all of our financial covenants.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discussion of our critical accounting policies, refer to the combined and consolidated financial statements of our 2025 Annual Report.</w:t>
      </w:r>
    </w:p>
    <w:p>
      <w:pPr>
        <w:pStyle w:val="TextBody"/>
        <w:bidi w:val="0"/>
        <w:spacing w:before="0" w:after="0"/>
        <w:ind w:left="0" w:right="0" w:firstLine="400"/>
        <w:jc w:val="both"/>
        <w:rPr>
          <w:spacing w:val="4"/>
        </w:rPr>
      </w:pPr>
      <w:r>
        <w:rPr>
          <w:spacing w:val="4"/>
        </w:rPr>
        <w:t>​</w:t>
      </w:r>
    </w:p>
    <w:p>
      <w:pPr>
        <w:pStyle w:val="TextBody"/>
        <w:bidi w:val="0"/>
        <w:spacing w:before="0" w:after="240"/>
        <w:ind w:left="0" w:right="0" w:hanging="0"/>
        <w:jc w:val="left"/>
        <w:rPr>
          <w:rFonts w:ascii="Times New Roman;Times;serif" w:hAnsi="Times New Roman;Times;serif"/>
          <w:b/>
          <w:sz w:val="20"/>
        </w:rPr>
      </w:pPr>
      <w:bookmarkStart w:id="869" w:name="Item3QuantitativeandQualitativeDisclosur"/>
      <w:bookmarkStart w:id="870" w:name="_b51b7858_5d04_4487_b1fd_213966592358"/>
      <w:bookmarkEnd w:id="869"/>
      <w:bookmarkEnd w:id="870"/>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 Risks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 risk is the exposure to loss resulting from changes in interest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our floating liabilities. Any significant increase in interest rates on our interest-bearing liabilities could have a material adverse effect on us. There can be no assurance that our profitability will not be materially adversely affected during any period as a result of changing interest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quantifies the potential changes in annual net income, assuming no change in our interest earning assets or interest-bearing liabilities, should interest rates decrease or increase by 10, 50 or 100 basis points, assuming no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in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Estimated Change In 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 in thousands) </w:t>
      </w:r>
    </w:p>
    <w:tbl>
      <w:tblPr>
        <w:tblW w:w="3589" w:type="dxa"/>
        <w:jc w:val="left"/>
        <w:tblInd w:w="0" w:type="dxa"/>
        <w:tblLayout w:type="fixed"/>
        <w:tblCellMar>
          <w:top w:w="0" w:type="dxa"/>
          <w:left w:w="0" w:type="dxa"/>
          <w:bottom w:w="0" w:type="dxa"/>
          <w:right w:w="0" w:type="dxa"/>
        </w:tblCellMar>
      </w:tblPr>
      <w:tblGrid>
        <w:gridCol w:w="1906"/>
        <w:gridCol w:w="346"/>
        <w:gridCol w:w="211"/>
        <w:gridCol w:w="112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10310" cy="175260"/>
                      <wp:effectExtent l="0" t="0" r="0" b="0"/>
                      <wp:wrapNone/>
                      <wp:docPr id="249" name="Frame249"/>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15010" cy="175260"/>
                      <wp:effectExtent l="0" t="0" r="0" b="0"/>
                      <wp:wrapNone/>
                      <wp:docPr id="252" name="Frame25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 in Interest Rates</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Net Income</w:t>
            </w:r>
            <w:r>
              <w:rPr>
                <w:rFonts w:ascii="Times New Roman;Times;serif" w:hAnsi="Times New Roman;Times;serif"/>
                <w:b/>
                <w:sz w:val="12"/>
              </w:rPr>
              <w:t>(1)</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 xml:space="preserve">As of March 31, 2026, we had $92.8 million principal amount of floating-rate debt obligations outstanding </w:t>
            </w:r>
            <w:r>
              <w:rPr>
                <w:rFonts w:ascii="Times New Roman;Times;serif" w:hAnsi="Times New Roman;Times;serif"/>
                <w:b w:val="false"/>
                <w:i w:val="false"/>
                <w:caps w:val="false"/>
                <w:smallCaps w:val="false"/>
                <w:sz w:val="16"/>
              </w:rPr>
              <w:t xml:space="preserve">and $62.1 million of cash and restricted cash. </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71" w:name="Item4ControlsandProcedures_830841"/>
      <w:bookmarkStart w:id="872" w:name="_b397738d_5493_4c61_aa23_93127ee6df01"/>
      <w:bookmarkEnd w:id="871"/>
      <w:bookmarkEnd w:id="872"/>
      <w:r>
        <w:rPr>
          <w:rFonts w:ascii="Times New Roman;Times;serif" w:hAnsi="Times New Roman;Times;serif"/>
          <w:b/>
          <w:sz w:val="20"/>
        </w:rPr>
        <w:t>Item 4.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w:t>
      </w:r>
      <w:r>
        <w:rPr>
          <w:rFonts w:ascii="Times New Roman;Times;serif" w:hAnsi="Times New Roman;Times;serif"/>
          <w:sz w:val="20"/>
          <w:shd w:fill="FFFFFF" w:val="clear"/>
        </w:rPr>
        <w:t>, </w:t>
      </w:r>
      <w:r>
        <w:rPr>
          <w:rFonts w:ascii="Times New Roman;Times;serif" w:hAnsi="Times New Roman;Times;serif"/>
          <w:sz w:val="20"/>
        </w:rPr>
        <w:t xml:space="preserve">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w:t>
      </w:r>
      <w:r>
        <w:rPr>
          <w:rFonts w:ascii="Times New Roman;Times;serif" w:hAnsi="Times New Roman;Times;serif"/>
          <w:sz w:val="20"/>
          <w:shd w:fill="FFFFFF" w:val="clear"/>
        </w:rPr>
        <w:t>Chief Financial Officer.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the end of the period covered by this report, the Company carried out an evaluation, under the supervision and with the participation of the disclosure committee and other members of management, including its Chief Executive Officer and Chief </w:t>
      </w:r>
      <w:r>
        <w:rPr>
          <w:rFonts w:ascii="Times New Roman;Times;serif" w:hAnsi="Times New Roman;Times;serif"/>
          <w:sz w:val="20"/>
          <w:shd w:fill="FFFFFF" w:val="clear"/>
        </w:rPr>
        <w:t>Financial Officer</w:t>
      </w:r>
      <w:r>
        <w:rPr>
          <w:rFonts w:ascii="Times New Roman;Times;serif" w:hAnsi="Times New Roman;Times;serif"/>
          <w:sz w:val="20"/>
        </w:rPr>
        <w:t>, of the effectiveness of the Company’s disclosure controls and procedures pursuant to Exchange Act Rule 13a-15(b) or Rule 15d-15. Based upon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the period covered by this quarterly report that has materially affected, or is reasonably likely to materially affect, the Company’s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b/>
          <w:sz w:val="20"/>
        </w:rPr>
      </w:pPr>
      <w:bookmarkStart w:id="873" w:name="PARTIIOTHERINFORMATION_183511"/>
      <w:bookmarkEnd w:id="87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874" w:name="Item1LegalProceedings_82121"/>
      <w:bookmarkStart w:id="875" w:name="_8e4593b2_7b36_4afd_a3d0_cf65a6f82a80"/>
      <w:bookmarkEnd w:id="874"/>
      <w:bookmarkEnd w:id="875"/>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and/or one or more of its subsidiaries is party to various pending litigation matters that are considered ordinary routine litigation incidental to the Company’s business as a finance and investment company focused on the commercial real estate industry, including foreclosure-related proceedings. The Company believes it is not a party to, nor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any of its properties the subject of, any pending legal proceeding that would have a material adverse effect on the Company’s consolidated financial statements.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76" w:name="Item1ARiskFactors_695411"/>
      <w:bookmarkStart w:id="877" w:name="_3abb2009_413f_4825_934d_bfb494d43a6a"/>
      <w:bookmarkEnd w:id="876"/>
      <w:bookmarkEnd w:id="877"/>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from the risk factors previously disclosed in our 2025 Annual Report.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78" w:name="Item2UnregisteredSalesofEquitySecurities"/>
      <w:bookmarkStart w:id="879" w:name="_39cce9b4_7331_4c79_ab35_6a3615b8a818"/>
      <w:bookmarkEnd w:id="878"/>
      <w:bookmarkEnd w:id="879"/>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20"/>
        </w:rPr>
        <w:t>None.</w:t>
      </w:r>
      <w:r>
        <w:rPr>
          <w:rFonts w:ascii="Times New Roman;Times;serif" w:hAnsi="Times New Roman;Times;serif"/>
          <w:sz w:val="16"/>
          <w:shd w:fill="FFFFFF" w:val="clear"/>
        </w:rPr>
        <w:t xml:space="preserve"> </w:t>
      </w:r>
    </w:p>
    <w:p>
      <w:pPr>
        <w:pStyle w:val="TextBody"/>
        <w:bidi w:val="0"/>
        <w:spacing w:before="0" w:after="0"/>
        <w:ind w:left="360" w:right="0" w:hanging="0"/>
        <w:jc w:val="both"/>
        <w:rPr/>
      </w:pPr>
      <w:r>
        <w:rPr/>
        <w:t>​</w:t>
      </w:r>
    </w:p>
    <w:p>
      <w:pPr>
        <w:pStyle w:val="TextBody"/>
        <w:bidi w:val="0"/>
        <w:spacing w:before="0" w:after="24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Issuer Purchases of Equity Securities </w:t>
      </w:r>
    </w:p>
    <w:tbl>
      <w:tblPr>
        <w:tblW w:w="9984" w:type="dxa"/>
        <w:jc w:val="left"/>
        <w:tblInd w:w="0" w:type="dxa"/>
        <w:tblLayout w:type="fixed"/>
        <w:tblCellMar>
          <w:top w:w="0" w:type="dxa"/>
          <w:left w:w="0" w:type="dxa"/>
          <w:bottom w:w="0" w:type="dxa"/>
          <w:right w:w="0" w:type="dxa"/>
        </w:tblCellMar>
      </w:tblPr>
      <w:tblGrid>
        <w:gridCol w:w="2221"/>
        <w:gridCol w:w="346"/>
        <w:gridCol w:w="1381"/>
        <w:gridCol w:w="346"/>
        <w:gridCol w:w="369"/>
        <w:gridCol w:w="817"/>
        <w:gridCol w:w="346"/>
        <w:gridCol w:w="1891"/>
        <w:gridCol w:w="346"/>
        <w:gridCol w:w="390"/>
        <w:gridCol w:w="153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10335" cy="175260"/>
                      <wp:effectExtent l="0" t="0" r="0" b="0"/>
                      <wp:wrapNone/>
                      <wp:docPr id="253" name="Frame253"/>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76935" cy="175260"/>
                      <wp:effectExtent l="0" t="0" r="0" b="0"/>
                      <wp:wrapNone/>
                      <wp:docPr id="255" name="Frame25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34315" cy="175260"/>
                      <wp:effectExtent l="0" t="0" r="0" b="0"/>
                      <wp:wrapNone/>
                      <wp:docPr id="257" name="Frame257"/>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18795" cy="175260"/>
                      <wp:effectExtent l="0" t="0" r="0" b="0"/>
                      <wp:wrapNone/>
                      <wp:docPr id="258" name="Frame25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00785" cy="175260"/>
                      <wp:effectExtent l="0" t="0" r="0" b="0"/>
                      <wp:wrapNone/>
                      <wp:docPr id="260" name="Frame26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47650" cy="175260"/>
                      <wp:effectExtent l="0" t="0" r="0" b="0"/>
                      <wp:wrapNone/>
                      <wp:docPr id="262" name="Frame262"/>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72185" cy="175260"/>
                      <wp:effectExtent l="0" t="0" r="0" b="0"/>
                      <wp:wrapNone/>
                      <wp:docPr id="263" name="Frame26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6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w:t>
            </w:r>
          </w:p>
        </w:tc>
        <w:tc>
          <w:tcPr>
            <w:tcW w:w="346" w:type="dxa"/>
            <w:tcBorders/>
            <w:vAlign w:val="center"/>
          </w:tcPr>
          <w:p>
            <w:pPr>
              <w:pStyle w:val="TableContents"/>
              <w:bidi w:val="0"/>
              <w:spacing w:before="0" w:after="0"/>
              <w:ind w:left="0" w:right="0" w:hanging="0"/>
              <w:jc w:val="center"/>
              <w:rPr/>
            </w:pPr>
            <w:r>
              <w:rPr/>
              <w:t>  ​ ​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6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 a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 the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center"/>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to January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216,555</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216,555</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164,614</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to February 28</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12,434</w:t>
            </w:r>
          </w:p>
        </w:tc>
        <w:tc>
          <w:tcPr>
            <w:tcW w:w="34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0"/>
              <w:ind w:left="0" w:right="0" w:hanging="0"/>
              <w:jc w:val="left"/>
              <w:rPr/>
            </w:pPr>
            <w:r>
              <w:rPr/>
              <w:t> </w:t>
            </w:r>
          </w:p>
        </w:tc>
        <w:tc>
          <w:tcPr>
            <w:tcW w:w="1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12,434</w:t>
            </w:r>
          </w:p>
        </w:tc>
        <w:tc>
          <w:tcPr>
            <w:tcW w:w="34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67,007</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to March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7,437</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7,437</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shd w:fill="CCEEFF" w:val="cle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On March 31, 2025, the Company announced that its board of trustees authorized a share repurchase program that permits the Company to repurchase up to $10.0 million of its common shares in open market purchases, privately negotiated transactions or otherwise, including pursuant to one or more trading plans. Through March 2026, the Company utilized the full authorization under the share repurchase program</w:t>
            </w:r>
            <w:r>
              <w:rPr>
                <w:rFonts w:ascii="Times New Roman;Times;serif" w:hAnsi="Times New Roman;Times;serif"/>
                <w:b w:val="false"/>
                <w:i w:val="false"/>
                <w:caps w:val="false"/>
                <w:smallCaps w:val="false"/>
                <w:sz w:val="16"/>
                <w:shd w:fill="FFFFFF" w:val="clear"/>
              </w:rPr>
              <w:t xml:space="preserve">. </w:t>
            </w:r>
          </w:p>
        </w:tc>
      </w:tr>
    </w:tbl>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80" w:name="Item3DefaultsUponSeniorSecurities_384293"/>
      <w:bookmarkStart w:id="881" w:name="_171e3e15_c740_456e_9ee4_9781d620a75c"/>
      <w:bookmarkEnd w:id="880"/>
      <w:bookmarkEnd w:id="881"/>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82" w:name="Item4MineSafetyDisclosures_914406"/>
      <w:bookmarkStart w:id="883" w:name="_5f797fb9_ba3c_4a81_bbf7_ca363bf27d6d"/>
      <w:bookmarkEnd w:id="882"/>
      <w:bookmarkEnd w:id="883"/>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84" w:name="Item5OtherInformation_66088"/>
      <w:bookmarkStart w:id="885" w:name="_da5c078f_01f5_4baa_aac1_70151febb721"/>
      <w:bookmarkEnd w:id="884"/>
      <w:bookmarkEnd w:id="885"/>
      <w:r>
        <w:rPr>
          <w:rFonts w:ascii="Times New Roman;Times;serif" w:hAnsi="Times New Roman;Times;serif"/>
          <w:b/>
          <w:sz w:val="20"/>
        </w:rPr>
        <w:t>Item 5.   Other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6" w:name="Item6Exhibits_269658"/>
      <w:bookmarkStart w:id="887" w:name="_1cc9d443_3081_4c89_8823_3eeb46ec1e43"/>
      <w:bookmarkEnd w:id="886"/>
      <w:bookmarkEnd w:id="887"/>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6"/>
        <w:gridCol w:w="286"/>
        <w:gridCol w:w="9073"/>
      </w:tblGrid>
      <w:tr>
        <w:trPr/>
        <w:tc>
          <w:tcPr>
            <w:tcW w:w="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07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286" w:type="dxa"/>
            <w:tcBorders/>
            <w:vAlign w:val="center"/>
          </w:tcPr>
          <w:p>
            <w:pPr>
              <w:pStyle w:val="TableContents"/>
              <w:bidi w:val="0"/>
              <w:spacing w:before="0" w:after="30"/>
              <w:ind w:left="0" w:right="0" w:hanging="0"/>
              <w:jc w:val="center"/>
              <w:rPr/>
            </w:pPr>
            <w:r>
              <w:rPr/>
              <w:t>  ​ ​</w:t>
            </w:r>
          </w:p>
        </w:tc>
        <w:tc>
          <w:tcPr>
            <w:tcW w:w="9073"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Document Description</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31.0</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pPr>
            <w:hyperlink w:anchor="stho-20260331xex31d0.htm">
              <w:r>
                <w:rPr>
                  <w:rStyle w:val="InternetLink"/>
                  <w:rFonts w:ascii="Times New Roman;Times;serif" w:hAnsi="Times New Roman;Times;serif"/>
                  <w:b w:val="false"/>
                  <w:i w:val="false"/>
                  <w:caps w:val="false"/>
                  <w:smallCaps w:val="false"/>
                  <w:sz w:val="20"/>
                </w:rPr>
                <w:t>Certifications pursuant to Section 302 of the Sarbanes-Oxley Act</w:t>
              </w:r>
            </w:hyperlink>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32.0</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pPr>
            <w:hyperlink w:anchor="stho-20260331xex32d0.htm">
              <w:r>
                <w:rPr>
                  <w:rStyle w:val="InternetLink"/>
                  <w:rFonts w:ascii="Times New Roman;Times;serif" w:hAnsi="Times New Roman;Times;serif"/>
                  <w:b w:val="false"/>
                  <w:i w:val="false"/>
                  <w:caps w:val="false"/>
                  <w:smallCaps w:val="false"/>
                  <w:sz w:val="20"/>
                </w:rPr>
                <w:t>Certifications pursuant to Section 906 of the Sarbanes-Oxley Act</w:t>
              </w:r>
            </w:hyperlink>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8" w:name="SIGNATURES_522488"/>
      <w:bookmarkStart w:id="889" w:name="_f99b3d35_318d_42cf_aac6_7d1cc158f66a"/>
      <w:bookmarkEnd w:id="888"/>
      <w:bookmarkEnd w:id="889"/>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360"/>
        <w:jc w:val="both"/>
        <w:rPr/>
      </w:pPr>
      <w:r>
        <w:rPr/>
        <w:t>​</w:t>
      </w:r>
    </w:p>
    <w:tbl>
      <w:tblPr>
        <w:tblW w:w="6078" w:type="dxa"/>
        <w:jc w:val="left"/>
        <w:tblInd w:w="0" w:type="dxa"/>
        <w:tblLayout w:type="fixed"/>
        <w:tblCellMar>
          <w:top w:w="0" w:type="dxa"/>
          <w:left w:w="0" w:type="dxa"/>
          <w:bottom w:w="0" w:type="dxa"/>
          <w:right w:w="0" w:type="dxa"/>
        </w:tblCellMar>
      </w:tblPr>
      <w:tblGrid>
        <w:gridCol w:w="556"/>
        <w:gridCol w:w="1141"/>
        <w:gridCol w:w="4381"/>
      </w:tblGrid>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Star Holdings </w:t>
              <w:br/>
            </w:r>
            <w:r>
              <w:rPr>
                <w:rFonts w:ascii="Times New Roman;Times;serif" w:hAnsi="Times New Roman;Times;serif"/>
                <w:i/>
                <w:sz w:val="20"/>
              </w:rPr>
              <w:t>Registrant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May 8, 2026</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JAY SUGARMAN</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 (principal executive officer)</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w:t>
              <w:br/>
            </w:r>
            <w:r>
              <w:rPr>
                <w:rFonts w:ascii="Times New Roman;Times;serif" w:hAnsi="Times New Roman;Times;serif"/>
                <w:i/>
                <w:sz w:val="20"/>
              </w:rPr>
              <w:t>Registrant</w:t>
            </w:r>
          </w:p>
          <w:p>
            <w:pPr>
              <w:pStyle w:val="TableContents"/>
              <w:bidi w:val="0"/>
              <w:spacing w:before="0" w:after="240"/>
              <w:ind w:left="0" w:right="0" w:hanging="0"/>
              <w:jc w:val="both"/>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May 8, 2026</w:t>
            </w:r>
          </w:p>
        </w:tc>
        <w:tc>
          <w:tcPr>
            <w:tcW w:w="43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169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00"/>
        <w:ind w:left="0" w:right="0" w:hanging="0"/>
        <w:jc w:val="right"/>
        <w:rPr>
          <w:rFonts w:ascii="Times New Roman;Times;serif" w:hAnsi="Times New Roman;Times;serif"/>
          <w:b/>
          <w:sz w:val="20"/>
        </w:rPr>
      </w:pPr>
      <w:bookmarkStart w:id="890" w:name="stho-20260331xex31d0.htm"/>
      <w:bookmarkStart w:id="891" w:name="ksstho20260331xex31d0"/>
      <w:bookmarkEnd w:id="890"/>
      <w:bookmarkEnd w:id="891"/>
      <w:r>
        <w:rPr>
          <w:rFonts w:ascii="Times New Roman;Times;serif" w:hAnsi="Times New Roman;Times;serif"/>
          <w:b/>
          <w:sz w:val="20"/>
        </w:rPr>
        <w:t>Exhibit 31.0</w:t>
      </w:r>
      <w:r>
        <w:br w:type="page"/>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Star Holdings;</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2"/>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38" w:type="dxa"/>
        <w:jc w:val="left"/>
        <w:tblInd w:w="0" w:type="dxa"/>
        <w:tblLayout w:type="fixed"/>
        <w:tblCellMar>
          <w:top w:w="0" w:type="dxa"/>
          <w:left w:w="0" w:type="dxa"/>
          <w:bottom w:w="0" w:type="dxa"/>
          <w:right w:w="0" w:type="dxa"/>
        </w:tblCellMar>
      </w:tblPr>
      <w:tblGrid>
        <w:gridCol w:w="1681"/>
        <w:gridCol w:w="406"/>
        <w:gridCol w:w="2551"/>
      </w:tblGrid>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Star Holdings;</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963" w:type="dxa"/>
        <w:jc w:val="left"/>
        <w:tblInd w:w="0" w:type="dxa"/>
        <w:tblLayout w:type="fixed"/>
        <w:tblCellMar>
          <w:top w:w="0" w:type="dxa"/>
          <w:left w:w="0" w:type="dxa"/>
          <w:bottom w:w="0" w:type="dxa"/>
          <w:right w:w="0" w:type="dxa"/>
        </w:tblCellMar>
      </w:tblPr>
      <w:tblGrid>
        <w:gridCol w:w="1681"/>
        <w:gridCol w:w="406"/>
        <w:gridCol w:w="4876"/>
      </w:tblGrid>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right"/>
        <w:rPr>
          <w:rFonts w:ascii="Times New Roman;Times;serif" w:hAnsi="Times New Roman;Times;serif"/>
          <w:b/>
          <w:sz w:val="20"/>
        </w:rPr>
      </w:pPr>
      <w:bookmarkStart w:id="892" w:name="stho-20260331xex32d0.htm"/>
      <w:bookmarkStart w:id="893" w:name="ksstho20260331xex32d0"/>
      <w:bookmarkEnd w:id="892"/>
      <w:bookmarkEnd w:id="893"/>
      <w:r>
        <w:rPr>
          <w:rFonts w:ascii="Times New Roman;Times;serif" w:hAnsi="Times New Roman;Times;serif"/>
          <w:b/>
          <w:sz w:val="20"/>
        </w:rPr>
        <w:t>Exhibit 32.0</w:t>
      </w:r>
      <w:r>
        <w:br w:type="page"/>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Star Holdings (the "Company"), hereby certifies on the date hereof, pursuant to 18 U.S.C. 1350, as adopted pursuant to Section 906 of The Sarbanes-Oxley Act of 2002, that the Quarterly Report on Form 10-Q for the quarter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654" w:type="dxa"/>
        <w:jc w:val="left"/>
        <w:tblInd w:w="0" w:type="dxa"/>
        <w:tblLayout w:type="fixed"/>
        <w:tblCellMar>
          <w:top w:w="0" w:type="dxa"/>
          <w:left w:w="0" w:type="dxa"/>
          <w:bottom w:w="0" w:type="dxa"/>
          <w:right w:w="0" w:type="dxa"/>
        </w:tblCellMar>
      </w:tblPr>
      <w:tblGrid>
        <w:gridCol w:w="556"/>
        <w:gridCol w:w="1141"/>
        <w:gridCol w:w="406"/>
        <w:gridCol w:w="255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53060" cy="175260"/>
                      <wp:effectExtent l="0" t="0" r="0" b="0"/>
                      <wp:wrapNone/>
                      <wp:docPr id="264" name="Frame26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24535" cy="175260"/>
                      <wp:effectExtent l="0" t="0" r="0" b="0"/>
                      <wp:wrapNone/>
                      <wp:docPr id="265" name="Frame26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7810" cy="175260"/>
                      <wp:effectExtent l="0" t="0" r="0" b="0"/>
                      <wp:wrapNone/>
                      <wp:docPr id="266" name="Frame26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19885" cy="175260"/>
                      <wp:effectExtent l="0" t="0" r="0" b="0"/>
                      <wp:wrapNone/>
                      <wp:docPr id="267" name="Frame267"/>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Star Holdings (the "Company"), hereby certifies on the date hereof, pursuant to 18 U.S.C. 1350, as adopted pursuant to Section 906 of The Sarbanes-Oxley Act of 2002, that the Quarterly Report on Form 10-Q for the quarter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6979" w:type="dxa"/>
        <w:jc w:val="left"/>
        <w:tblInd w:w="0" w:type="dxa"/>
        <w:tblLayout w:type="fixed"/>
        <w:tblCellMar>
          <w:top w:w="0" w:type="dxa"/>
          <w:left w:w="0" w:type="dxa"/>
          <w:bottom w:w="0" w:type="dxa"/>
          <w:right w:w="0" w:type="dxa"/>
        </w:tblCellMar>
      </w:tblPr>
      <w:tblGrid>
        <w:gridCol w:w="556"/>
        <w:gridCol w:w="1141"/>
        <w:gridCol w:w="406"/>
        <w:gridCol w:w="487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53060" cy="175260"/>
                      <wp:effectExtent l="0" t="0" r="0" b="0"/>
                      <wp:wrapNone/>
                      <wp:docPr id="268" name="Frame26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24535" cy="175260"/>
                      <wp:effectExtent l="0" t="0" r="0" b="0"/>
                      <wp:wrapNone/>
                      <wp:docPr id="269" name="Frame2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7810" cy="175260"/>
                      <wp:effectExtent l="0" t="0" r="0" b="0"/>
                      <wp:wrapNone/>
                      <wp:docPr id="270" name="Frame2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096260" cy="175260"/>
                      <wp:effectExtent l="0" t="0" r="0" b="0"/>
                      <wp:wrapNone/>
                      <wp:docPr id="271" name="Frame271"/>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14883</Words>
  <Characters>81786</Characters>
  <CharactersWithSpaces>97919</CharactersWithSpaces>
  <Paragraphs>3621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