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00"/>
        <w:ind w:left="0" w:right="0" w:hanging="0"/>
        <w:jc w:val="center"/>
        <w:rPr/>
      </w:pPr>
      <w:bookmarkStart w:id="0" w:name="stho-20260807x8k.htm"/>
      <w:bookmarkStart w:id="1" w:name="ksstho20260807x8k"/>
      <w:bookmarkEnd w:id="0"/>
      <w:bookmarkEnd w:id="1"/>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9924eb91_f52d_428a_8313_37b13dde5274"/>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4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7, 2026</w:t>
      </w:r>
    </w:p>
    <w:p>
      <w:pPr>
        <w:pStyle w:val="TextBody"/>
        <w:bidi w:val="0"/>
        <w:spacing w:before="0" w:after="140"/>
        <w:ind w:left="0" w:right="0" w:hanging="0"/>
        <w:jc w:val="center"/>
        <w:rPr>
          <w:rFonts w:ascii="Times New Roman;Times;serif" w:hAnsi="Times New Roman;Times;serif"/>
          <w:b/>
          <w:sz w:val="36"/>
        </w:rPr>
      </w:pPr>
      <w:r>
        <w:rPr>
          <w:rFonts w:ascii="Times New Roman;Times;serif" w:hAnsi="Times New Roman;Times;serif"/>
          <w:b/>
          <w:sz w:val="36"/>
        </w:rPr>
        <w:t>Star Holdings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 w:name="Tc_BBTVDwEbsE6xsFy0_tM34w_2_2"/>
      <w:bookmarkStart w:id="4" w:name="Tc_DdAoBzy6UkitqwEXtmKd9w_2_1"/>
      <w:bookmarkStart w:id="5" w:name="Tc_qBG838YaRUKLWoqy_tcAGw_2_0"/>
      <w:bookmarkStart w:id="6" w:name="_79d447f5_7c00_44e7_b124_97293a2845df"/>
      <w:bookmarkStart w:id="7" w:name="Tc_BBTVDwEbsE6xsFy0_tM34w_2_2"/>
      <w:bookmarkStart w:id="8" w:name="Tc_DdAoBzy6UkitqwEXtmKd9w_2_1"/>
      <w:bookmarkStart w:id="9" w:name="Tc_qBG838YaRUKLWoqy_tcAGw_2_0"/>
      <w:bookmarkStart w:id="10" w:name="_79d447f5_7c00_44e7_b124_97293a2845df"/>
      <w:bookmarkEnd w:id="7"/>
      <w:bookmarkEnd w:id="8"/>
      <w:bookmarkEnd w:id="9"/>
      <w:bookmarkEnd w:id="10"/>
    </w:p>
    <w:tbl>
      <w:tblPr>
        <w:tblW w:w="8868" w:type="dxa"/>
        <w:jc w:val="left"/>
        <w:tblInd w:w="0" w:type="dxa"/>
        <w:tblLayout w:type="fixed"/>
        <w:tblCellMar>
          <w:top w:w="0" w:type="dxa"/>
          <w:left w:w="0" w:type="dxa"/>
          <w:bottom w:w="0" w:type="dxa"/>
          <w:right w:w="0" w:type="dxa"/>
        </w:tblCellMar>
      </w:tblPr>
      <w:tblGrid>
        <w:gridCol w:w="3676"/>
        <w:gridCol w:w="229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34260" cy="175260"/>
                      <wp:effectExtent l="0" t="0" r="0" b="0"/>
                      <wp:wrapNone/>
                      <wp:docPr id="1" name="Frame1"/>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838960" cy="175260"/>
                      <wp:effectExtent l="0" t="0" r="0" b="0"/>
                      <wp:wrapNone/>
                      <wp:docPr id="3" name="Frame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001-41572</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37-6762818</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Penn Plaza, 51st 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New York</w:t>
      </w:r>
      <w:r>
        <w:rPr>
          <w:rFonts w:ascii="Times New Roman;Times;serif" w:hAnsi="Times New Roman;Times;serif"/>
          <w:sz w:val="20"/>
        </w:rPr>
        <w:t xml:space="preserve"> </w:t>
      </w:r>
      <w:r>
        <w:rPr>
          <w:rFonts w:ascii="Times New Roman;Times;serif" w:hAnsi="Times New Roman;Times;serif"/>
          <w:b/>
          <w:sz w:val="20"/>
        </w:rPr>
        <w:t>10119</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930-9400</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1114 Avenue of the Americas, 39</w:t>
      </w:r>
      <w:r>
        <w:rPr>
          <w:rFonts w:ascii="Times New Roman;Times;serif" w:hAnsi="Times New Roman;Times;serif"/>
          <w:b/>
          <w:sz w:val="15"/>
        </w:rPr>
        <w:t>th</w:t>
      </w:r>
      <w:r>
        <w:rPr>
          <w:rFonts w:ascii="Times New Roman;Times;serif" w:hAnsi="Times New Roman;Times;serif"/>
          <w:sz w:val="20"/>
        </w:rPr>
        <w:t xml:space="preserve"> </w:t>
      </w:r>
      <w:r>
        <w:rPr>
          <w:rFonts w:ascii="Times New Roman;Times;serif" w:hAnsi="Times New Roman;Times;serif"/>
          <w:b/>
          <w:sz w:val="20"/>
        </w:rPr>
        <w:t>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10036</w:t>
      </w:r>
      <w:r>
        <w:rPr>
          <w:rFonts w:ascii="Times New Roman;Times;serif" w:hAnsi="Times New Roman;Times;serif"/>
          <w:sz w:val="20"/>
        </w:rPr>
        <w:t xml:space="preserve"> </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4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4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4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4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1" w:name="Tc_EsGkmZhIc0yRRxyHCr5-aA_1_4"/>
      <w:bookmarkStart w:id="12" w:name="Tc_MVebOvs3A0KXF328pkWEUQ_1_2"/>
      <w:bookmarkStart w:id="13" w:name="Tc_-K_ivKy-m0yspfjFL-WgZA_1_0"/>
      <w:bookmarkStart w:id="14" w:name="_f3313f0f_85a1_4b97_afde_8106c830ac28"/>
      <w:bookmarkStart w:id="15" w:name="Tc_EsGkmZhIc0yRRxyHCr5-aA_1_4"/>
      <w:bookmarkStart w:id="16" w:name="Tc_MVebOvs3A0KXF328pkWEUQ_1_2"/>
      <w:bookmarkStart w:id="17" w:name="Tc_-K_ivKy-m0yspfjFL-WgZA_1_0"/>
      <w:bookmarkStart w:id="18" w:name="_f3313f0f_85a1_4b97_afde_8106c830ac28"/>
      <w:bookmarkEnd w:id="15"/>
      <w:bookmarkEnd w:id="16"/>
      <w:bookmarkEnd w:id="17"/>
      <w:bookmarkEnd w:id="18"/>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7790" cy="175260"/>
                      <wp:effectExtent l="0" t="0" r="0" b="0"/>
                      <wp:wrapNone/>
                      <wp:docPr id="8" name="Frame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2200275"/>
                      <wp:effectExtent l="0" t="0" r="0" b="0"/>
                      <wp:wrapNone/>
                      <wp:docPr id="9" name="Frame9"/>
                      <a:graphic xmlns:a="http://schemas.openxmlformats.org/drawingml/2006/main">
                        <a:graphicData uri="http://schemas.microsoft.com/office/word/2010/wordprocessingShape">
                          <wps:wsp>
                            <wps:cNvSpPr txBox="1"/>
                            <wps:spPr>
                              <a:xfrm>
                                <a:off x="0" y="0"/>
                                <a:ext cx="78740" cy="220027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525780"/>
                      <wp:effectExtent l="0" t="0" r="0" b="0"/>
                      <wp:wrapNone/>
                      <wp:docPr id="10" name="Frame10"/>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4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2346960"/>
                      <wp:effectExtent l="0" t="0" r="0" b="0"/>
                      <wp:wrapNone/>
                      <wp:docPr id="11" name="Frame11"/>
                      <a:graphic xmlns:a="http://schemas.openxmlformats.org/drawingml/2006/main">
                        <a:graphicData uri="http://schemas.microsoft.com/office/word/2010/wordprocessingShape">
                          <wps:wsp>
                            <wps:cNvSpPr txBox="1"/>
                            <wps:spPr>
                              <a:xfrm>
                                <a:off x="0" y="0"/>
                                <a:ext cx="69215" cy="2346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525780"/>
                      <wp:effectExtent l="0" t="0" r="0" b="0"/>
                      <wp:wrapNone/>
                      <wp:docPr id="12" name="Frame12"/>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4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2754630"/>
                      <wp:effectExtent l="0" t="0" r="0" b="0"/>
                      <wp:wrapNone/>
                      <wp:docPr id="13" name="Frame13"/>
                      <a:graphic xmlns:a="http://schemas.openxmlformats.org/drawingml/2006/main">
                        <a:graphicData uri="http://schemas.microsoft.com/office/word/2010/wordprocessingShape">
                          <wps:wsp>
                            <wps:cNvSpPr txBox="1"/>
                            <wps:spPr>
                              <a:xfrm>
                                <a:off x="0" y="0"/>
                                <a:ext cx="97790" cy="275463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16.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8740" cy="2497455"/>
                      <wp:effectExtent l="0" t="0" r="0" b="0"/>
                      <wp:wrapNone/>
                      <wp:docPr id="14" name="Frame14"/>
                      <a:graphic xmlns:a="http://schemas.openxmlformats.org/drawingml/2006/main">
                        <a:graphicData uri="http://schemas.microsoft.com/office/word/2010/wordprocessingShape">
                          <wps:wsp>
                            <wps:cNvSpPr txBox="1"/>
                            <wps:spPr>
                              <a:xfrm>
                                <a:off x="0" y="0"/>
                                <a:ext cx="78740" cy="249745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of beneficial interest,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of beneficial interest,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586740"/>
                      <wp:effectExtent l="0" t="0" r="0" b="0"/>
                      <wp:wrapNone/>
                      <wp:docPr id="16" name="Frame16"/>
                      <a:graphic xmlns:a="http://schemas.openxmlformats.org/drawingml/2006/main">
                        <a:graphicData uri="http://schemas.microsoft.com/office/word/2010/wordprocessingShape">
                          <wps:wsp>
                            <wps:cNvSpPr txBox="1"/>
                            <wps:spPr>
                              <a:xfrm>
                                <a:off x="0" y="0"/>
                                <a:ext cx="69215" cy="5867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STHO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STHO</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790" cy="2346960"/>
                      <wp:effectExtent l="0" t="0" r="0" b="0"/>
                      <wp:wrapNone/>
                      <wp:docPr id="18" name="Frame18"/>
                      <a:graphic xmlns:a="http://schemas.openxmlformats.org/drawingml/2006/main">
                        <a:graphicData uri="http://schemas.microsoft.com/office/word/2010/wordprocessingShape">
                          <wps:wsp>
                            <wps:cNvSpPr txBox="1"/>
                            <wps:spPr>
                              <a:xfrm>
                                <a:off x="0" y="0"/>
                                <a:ext cx="97790" cy="2346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Nasdaq Global Market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Nasdaq Global Market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9" w:name="_5e3f259b_7895_4df6_a1c8_09e38c919a5c"/>
      <w:bookmarkEnd w:id="19"/>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shd w:fill="FFFFFF" w:val="clear"/>
        <w:bidi w:val="0"/>
        <w:spacing w:before="0" w:after="0"/>
        <w:ind w:left="0" w:right="0" w:firstLine="900"/>
        <w:jc w:val="both"/>
        <w:rPr>
          <w:rFonts w:ascii="Times New Roman;Times;serif" w:hAnsi="Times New Roman;Times;serif"/>
          <w:sz w:val="20"/>
        </w:rPr>
      </w:pPr>
      <w:r>
        <w:rPr>
          <w:rFonts w:ascii="Times New Roman;Times;serif" w:hAnsi="Times New Roman;Times;serif"/>
          <w:sz w:val="20"/>
        </w:rPr>
        <w:t>On August 7, 2026, Star Holdings issued an earnings release for the quarter ended June 30, 2026. A copy of the earnings release is attached as Exhibit 99.1 hereto and incorporated herein by reference.</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900"/>
        <w:jc w:val="both"/>
        <w:rPr>
          <w:rFonts w:ascii="Times New Roman;Times;serif" w:hAnsi="Times New Roman;Times;serif"/>
          <w:sz w:val="20"/>
        </w:rPr>
      </w:pPr>
      <w:r>
        <w:rPr>
          <w:rFonts w:ascii="Times New Roman;Times;serif" w:hAnsi="Times New Roman;Times;serif"/>
          <w:sz w:val="20"/>
        </w:rPr>
        <w:t>The information in this Current Report, including the exhibit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20" w:name="_955c3f6c_69c0_4a00_ba28_76ccc1fe2997"/>
      <w:bookmarkEnd w:id="20"/>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pBdr/>
        <w:bidi w:val="0"/>
        <w:spacing w:before="0" w:after="0"/>
        <w:ind w:left="0" w:right="0" w:hanging="0"/>
        <w:jc w:val="left"/>
        <w:rPr/>
      </w:pPr>
      <w:r>
        <w:rPr>
          <w:rFonts w:ascii="Times New Roman;Times;serif" w:hAnsi="Times New Roman;Times;serif"/>
          <w:b w:val="false"/>
          <w:i w:val="false"/>
          <w:caps w:val="false"/>
          <w:smallCaps w:val="false"/>
          <w:sz w:val="20"/>
        </w:rPr>
        <w:t>Exhibit 99.1</w:t>
      </w:r>
      <w:hyperlink w:anchor="stho-20260807xex99d1.htm">
        <w:r>
          <w:rPr>
            <w:rStyle w:val="InternetLink"/>
            <w:rFonts w:ascii="Times New Roman;Times;serif" w:hAnsi="Times New Roman;Times;serif"/>
            <w:b w:val="false"/>
            <w:i w:val="false"/>
            <w:caps w:val="false"/>
            <w:smallCaps w:val="false"/>
            <w:sz w:val="20"/>
          </w:rPr>
          <w:t>Earnings Release</w:t>
        </w:r>
      </w:hyperlink>
      <w:r>
        <w:rPr>
          <w:rFonts w:ascii="Times New Roman;Times;serif" w:hAnsi="Times New Roman;Times;serif"/>
          <w:sz w:val="20"/>
        </w:rPr>
        <w:t>.</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Exhibit 104</w:t>
      </w:r>
      <w:r>
        <w:rPr>
          <w:rFonts w:ascii="Times New Roman;Times;serif" w:hAnsi="Times New Roman;Times;serif"/>
          <w:sz w:val="20"/>
        </w:rPr>
        <w:t>Inline XBRL for the cover page of this Current Report on Form 8-K.</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21" w:name="_8bc5ed52_d242_4812_bf69_04733874877b"/>
      <w:bookmarkEnd w:id="21"/>
      <w:r>
        <w:rPr>
          <w:rFonts w:ascii="Times New Roman;Times;serif" w:hAnsi="Times New Roman;Times;serif"/>
          <w:b/>
          <w:sz w:val="20"/>
        </w:rPr>
        <w:t>SIGNATURE</w:t>
      </w:r>
    </w:p>
    <w:p>
      <w:pPr>
        <w:pStyle w:val="TextBody"/>
        <w:bidi w:val="0"/>
        <w:spacing w:before="0" w:after="200"/>
        <w:ind w:left="0" w:right="0" w:firstLine="9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tbl>
      <w:tblPr>
        <w:tblW w:w="4729" w:type="dxa"/>
        <w:jc w:val="left"/>
        <w:tblInd w:w="0" w:type="dxa"/>
        <w:tblLayout w:type="fixed"/>
        <w:tblCellMar>
          <w:top w:w="0" w:type="dxa"/>
          <w:left w:w="0" w:type="dxa"/>
          <w:bottom w:w="0" w:type="dxa"/>
          <w:right w:w="0" w:type="dxa"/>
        </w:tblCellMar>
      </w:tblPr>
      <w:tblGrid>
        <w:gridCol w:w="556"/>
        <w:gridCol w:w="1351"/>
        <w:gridCol w:w="406"/>
        <w:gridCol w:w="241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53060" cy="175260"/>
                      <wp:effectExtent l="0" t="0" r="0" b="0"/>
                      <wp:wrapNone/>
                      <wp:docPr id="19" name="Frame1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857885" cy="175260"/>
                      <wp:effectExtent l="0" t="0" r="0" b="0"/>
                      <wp:wrapNone/>
                      <wp:docPr id="20" name="Frame2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57810" cy="175260"/>
                      <wp:effectExtent l="0" t="0" r="0" b="0"/>
                      <wp:wrapNone/>
                      <wp:docPr id="21" name="Frame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34160" cy="175260"/>
                      <wp:effectExtent l="0" t="0" r="0" b="0"/>
                      <wp:wrapNone/>
                      <wp:docPr id="22" name="Frame22"/>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lineRule="auto" w:line="285" w:before="480" w:after="0"/>
        <w:ind w:left="0" w:right="0" w:hanging="0"/>
        <w:jc w:val="left"/>
        <w:rPr/>
      </w:pPr>
      <w:bookmarkStart w:id="22" w:name="stho-20260807xex99d1.htm"/>
      <w:bookmarkStart w:id="23" w:name="ksstho20260807xex99d1"/>
      <w:bookmarkEnd w:id="22"/>
      <w:bookmarkEnd w:id="23"/>
      <w:r>
        <w:rPr/>
        <w:drawing>
          <wp:inline distT="0" distB="0" distL="0" distR="0">
            <wp:extent cx="1763395" cy="614045"/>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1763395" cy="614045"/>
                    </a:xfrm>
                    <a:prstGeom prst="rect">
                      <a:avLst/>
                    </a:prstGeom>
                  </pic:spPr>
                </pic:pic>
              </a:graphicData>
            </a:graphic>
          </wp:inline>
        </w:drawing>
      </w:r>
      <w:r>
        <w:br w:type="page"/>
      </w:r>
    </w:p>
    <w:p>
      <w:pPr>
        <w:pStyle w:val="TextBody"/>
        <w:bidi w:val="0"/>
        <w:spacing w:lineRule="auto" w:line="285" w:before="0" w:after="0"/>
        <w:ind w:left="0" w:right="0" w:hanging="0"/>
        <w:jc w:val="right"/>
        <w:rPr>
          <w:rFonts w:ascii="F37 Ginger Light;arial;calibri;sans-serif" w:hAnsi="F37 Ginger Light;arial;calibri;sans-serif"/>
          <w:b/>
          <w:sz w:val="24"/>
        </w:rPr>
      </w:pPr>
      <w:r>
        <w:rPr>
          <w:rFonts w:ascii="F37 Ginger Light;arial;calibri;sans-serif" w:hAnsi="F37 Ginger Light;arial;calibri;sans-serif"/>
          <w:b/>
          <w:sz w:val="24"/>
        </w:rPr>
        <w:t>Exhibit 99.1</w:t>
      </w:r>
    </w:p>
    <w:p>
      <w:pPr>
        <w:pStyle w:val="TextBody"/>
        <w:bidi w:val="0"/>
        <w:spacing w:lineRule="atLeast" w:line="460" w:before="240" w:after="0"/>
        <w:ind w:left="0" w:right="0" w:hanging="0"/>
        <w:jc w:val="left"/>
        <w:rPr>
          <w:rFonts w:ascii="Neue Haas Grotesk Text Pro" w:hAnsi="Neue Haas Grotesk Text Pro"/>
          <w:sz w:val="36"/>
        </w:rPr>
      </w:pPr>
      <w:r>
        <w:rPr>
          <w:rFonts w:ascii="Neue Haas Grotesk Text Pro" w:hAnsi="Neue Haas Grotesk Text Pro"/>
          <w:sz w:val="36"/>
        </w:rPr>
        <w:t>Press Release</w:t>
      </w:r>
    </w:p>
    <w:p>
      <w:pPr>
        <w:pStyle w:val="TextBody"/>
        <w:bidi w:val="0"/>
        <w:spacing w:lineRule="atLeast" w:line="520" w:before="0" w:after="0"/>
        <w:ind w:left="0" w:right="0" w:hanging="0"/>
        <w:jc w:val="left"/>
        <w:rPr>
          <w:rFonts w:ascii="Neue Haas Grotesk Text Pro" w:hAnsi="Neue Haas Grotesk Text Pro"/>
          <w:color w:val="000000"/>
          <w:sz w:val="44"/>
        </w:rPr>
      </w:pPr>
      <w:r>
        <w:rPr>
          <w:rFonts w:ascii="Neue Haas Grotesk Text Pro" w:hAnsi="Neue Haas Grotesk Text Pro"/>
          <w:color w:val="000000"/>
          <w:sz w:val="44"/>
        </w:rPr>
        <w:t xml:space="preserve">Star Holdings Reports Second Quarter 2026 Results </w:t>
      </w:r>
    </w:p>
    <w:p>
      <w:pPr>
        <w:pStyle w:val="TextBody"/>
        <w:bidi w:val="0"/>
        <w:spacing w:lineRule="atLeast" w:line="520" w:before="0" w:after="480"/>
        <w:ind w:left="0" w:right="0" w:hanging="0"/>
        <w:jc w:val="left"/>
        <w:rPr>
          <w:color w:val="000000"/>
        </w:rPr>
      </w:pPr>
      <w:r>
        <w:rPr>
          <w:color w:val="000000"/>
        </w:rPr>
        <w:t>​</w:t>
      </w:r>
    </w:p>
    <w:p>
      <w:pPr>
        <w:pStyle w:val="TextBody"/>
        <w:bidi w:val="0"/>
        <w:spacing w:lineRule="atLeast" w:line="260" w:before="0" w:after="120"/>
        <w:ind w:left="0" w:right="0" w:hanging="0"/>
        <w:jc w:val="left"/>
        <w:rPr>
          <w:rFonts w:ascii="Neue Haas Grotesk Text Pro" w:hAnsi="Neue Haas Grotesk Text Pro"/>
          <w:b w:val="false"/>
          <w:sz w:val="20"/>
        </w:rPr>
      </w:pPr>
      <w:r>
        <w:rPr>
          <w:rFonts w:ascii="Neue Haas Grotesk Text Pro" w:hAnsi="Neue Haas Grotesk Text Pro"/>
          <w:b w:val="false"/>
          <w:sz w:val="20"/>
        </w:rPr>
        <w:t>NEW YORK, August 7, 2026</w:t>
      </w:r>
    </w:p>
    <w:p>
      <w:pPr>
        <w:pStyle w:val="TextBody"/>
        <w:bidi w:val="0"/>
        <w:spacing w:lineRule="atLeast" w:line="320" w:before="0" w:after="200"/>
        <w:ind w:left="0" w:right="0" w:hanging="0"/>
        <w:jc w:val="left"/>
        <w:rPr>
          <w:rFonts w:ascii="Neue Haas Grotesk Text Pro" w:hAnsi="Neue Haas Grotesk Text Pro"/>
          <w:sz w:val="20"/>
        </w:rPr>
      </w:pPr>
      <w:r>
        <w:rPr>
          <w:rFonts w:ascii="Neue Haas Grotesk Text Pro" w:hAnsi="Neue Haas Grotesk Text Pro"/>
          <w:sz w:val="20"/>
        </w:rPr>
        <w:t xml:space="preserve">Star Holdings (NASDAQ: STHO) announced today that it has filed its Quarterly Report on Form 10-Q for the quarter ended June 30, 2026 with the Securities and Exchange Commission. </w:t>
      </w:r>
    </w:p>
    <w:p>
      <w:pPr>
        <w:pStyle w:val="TextBody"/>
        <w:bidi w:val="0"/>
        <w:spacing w:lineRule="auto" w:line="328" w:before="0" w:after="200"/>
        <w:ind w:left="0" w:right="0" w:hanging="0"/>
        <w:jc w:val="left"/>
        <w:rPr>
          <w:rFonts w:ascii="Neue Haas Grotesk Text Pro" w:hAnsi="Neue Haas Grotesk Text Pro"/>
          <w:sz w:val="20"/>
        </w:rPr>
      </w:pPr>
      <w:r>
        <w:rPr>
          <w:rFonts w:ascii="Neue Haas Grotesk Text Pro" w:hAnsi="Neue Haas Grotesk Text Pro"/>
          <w:sz w:val="20"/>
        </w:rPr>
        <w:t xml:space="preserve">Net income attributable to common shareholders for the second quarter was $41.4 million and earnings per share was $3.43. These results reflect a non-cash adjustment of $29.3 million, which increased earnings per share by $2.43 with respect to our investment in approximately 13.5 million shares of SAFE based on a mark-to-market at quarter end. Additionally, the Company recognized $14.4 million, or $1.19 per share, of deferred non-cash income resulting from the Company surrendering an asset to a local municipality following the expiration of a lease. </w:t>
      </w:r>
    </w:p>
    <w:p>
      <w:pPr>
        <w:pStyle w:val="TextBody"/>
        <w:bidi w:val="0"/>
        <w:spacing w:lineRule="auto" w:line="328" w:before="0" w:after="200"/>
        <w:ind w:left="0" w:right="0" w:hanging="0"/>
        <w:jc w:val="left"/>
        <w:rPr>
          <w:rFonts w:ascii="F37 Ginger Light;arial;calibri;sans-serif" w:hAnsi="F37 Ginger Light;arial;calibri;sans-serif"/>
          <w:sz w:val="20"/>
        </w:rPr>
      </w:pPr>
      <w:r>
        <w:rPr>
          <w:rFonts w:ascii="Neue Haas Grotesk Text Pro" w:hAnsi="Neue Haas Grotesk Text Pro"/>
          <w:sz w:val="20"/>
        </w:rPr>
        <w:t>Further details regarding the Company's results of operations, assets and activities are available in the Company's Form 10-Q for the quarter ended June 30, 2026 which is available for download at the Company's website www.starholdingsco.com</w:t>
      </w:r>
      <w:r>
        <w:rPr>
          <w:rFonts w:ascii="F37 Ginger Light;arial;calibri;sans-serif" w:hAnsi="F37 Ginger Light;arial;calibri;sans-serif"/>
          <w:sz w:val="20"/>
        </w:rPr>
        <w:t> </w:t>
      </w:r>
      <w:r>
        <w:rPr>
          <w:rFonts w:ascii="Neue Haas Grotesk Text Pro" w:hAnsi="Neue Haas Grotesk Text Pro"/>
          <w:sz w:val="20"/>
        </w:rPr>
        <w:t>or at the Securities and Exchange Commission website www.sec.gov.</w:t>
      </w:r>
    </w:p>
    <w:p>
      <w:pPr>
        <w:pStyle w:val="TextBody"/>
        <w:bidi w:val="0"/>
        <w:spacing w:lineRule="atLeast" w:line="300" w:before="0" w:after="120"/>
        <w:ind w:left="0" w:right="0" w:hanging="0"/>
        <w:jc w:val="left"/>
        <w:rPr>
          <w:color w:val="0000FF"/>
        </w:rPr>
      </w:pPr>
      <w:r>
        <w:rPr>
          <w:caps w:val="false"/>
          <w:smallCaps w:val="false"/>
          <w:color w:val="000000"/>
        </w:rPr>
        <w:t>●</w:t>
      </w:r>
      <w:r>
        <w:rPr>
          <w:color w:val="000000"/>
        </w:rPr>
        <w:t>●●</w:t>
      </w:r>
    </w:p>
    <w:p>
      <w:pPr>
        <w:pStyle w:val="TextBody"/>
        <w:bidi w:val="0"/>
        <w:spacing w:lineRule="auto" w:line="328" w:before="0" w:after="120"/>
        <w:ind w:left="0" w:right="0" w:hanging="0"/>
        <w:jc w:val="left"/>
        <w:rPr>
          <w:rFonts w:ascii="F37 Ginger Light;arial;calibri;sans-serif" w:hAnsi="F37 Ginger Light;arial;calibri;sans-serif"/>
          <w:sz w:val="20"/>
        </w:rPr>
      </w:pPr>
      <w:r>
        <w:rPr>
          <w:rFonts w:ascii="Neue Haas Grotesk Text Pro" w:hAnsi="Neue Haas Grotesk Text Pro"/>
          <w:sz w:val="20"/>
          <w:shd w:fill="FFFFFF" w:val="clear"/>
        </w:rPr>
        <w:t xml:space="preserve">Star Holdings’ (NASDAQ: STHO) portfolio is comprised primarily of interests in the Asbury Park Waterfront, the Magnolia Green residential development projects and other commercial real estate properties and loans that are for sale or otherwise plan to be monetized. Star Holdings also owns shares of Safehold Inc. (NYSE: SAFE). Star Holdings expects to focus on realizing value for shareholders from its portfolio primarily by maximizing cash flows through active asset management and asset sales. </w:t>
      </w:r>
      <w:r>
        <w:rPr>
          <w:rFonts w:ascii="Neue Haas Grotesk Text Pro" w:hAnsi="Neue Haas Grotesk Text Pro"/>
          <w:sz w:val="20"/>
        </w:rPr>
        <w:t xml:space="preserve">Additional information on Star Holdings is available on its website at </w:t>
      </w:r>
      <w:r>
        <w:rPr>
          <w:rFonts w:ascii="Neue Haas Grotesk Text Pro" w:hAnsi="Neue Haas Grotesk Text Pro"/>
          <w:color w:val="0000BF"/>
          <w:sz w:val="20"/>
        </w:rPr>
        <w:t>www.starholdingsco.com.</w:t>
      </w:r>
    </w:p>
    <w:p>
      <w:pPr>
        <w:pStyle w:val="TextBody"/>
        <w:bidi w:val="0"/>
        <w:spacing w:lineRule="auto" w:line="285" w:before="0" w:after="0"/>
        <w:ind w:left="0" w:right="0" w:hanging="0"/>
        <w:jc w:val="left"/>
        <w:rPr>
          <w:rFonts w:ascii="F37 Ginger Light;arial;calibri;sans-serif" w:hAnsi="F37 Ginger Light;arial;calibri;sans-serif"/>
          <w:sz w:val="20"/>
        </w:rPr>
      </w:pPr>
      <w:r>
        <w:rPr>
          <w:rFonts w:ascii="Neue Haas Grotesk Text Pro" w:hAnsi="Neue Haas Grotesk Text Pro"/>
          <w:sz w:val="20"/>
        </w:rPr>
        <w:t>Company Contact:</w:t>
      </w:r>
      <w:r>
        <w:rPr>
          <w:rFonts w:ascii="F37 Ginger Light;arial;calibri;sans-serif" w:hAnsi="F37 Ginger Light;arial;calibri;sans-serif"/>
          <w:sz w:val="20"/>
        </w:rPr>
        <w:t xml:space="preserve"> </w:t>
      </w:r>
    </w:p>
    <w:p>
      <w:pPr>
        <w:pStyle w:val="TextBody"/>
        <w:bidi w:val="0"/>
        <w:spacing w:lineRule="auto" w:line="285" w:before="0" w:after="0"/>
        <w:ind w:left="0" w:right="0" w:hanging="0"/>
        <w:jc w:val="left"/>
        <w:rPr>
          <w:rFonts w:ascii="Neue Haas Grotesk Text Pro" w:hAnsi="Neue Haas Grotesk Text Pro"/>
          <w:b/>
          <w:sz w:val="20"/>
        </w:rPr>
      </w:pPr>
      <w:r>
        <w:rPr>
          <w:rFonts w:ascii="Neue Haas Grotesk Text Pro" w:hAnsi="Neue Haas Grotesk Text Pro"/>
          <w:b/>
          <w:sz w:val="20"/>
        </w:rPr>
        <w:t>Pearse Hoffmann</w:t>
      </w:r>
    </w:p>
    <w:p>
      <w:pPr>
        <w:pStyle w:val="TextBody"/>
        <w:bidi w:val="0"/>
        <w:spacing w:lineRule="auto" w:line="285" w:before="0" w:after="0"/>
        <w:ind w:left="0" w:right="0" w:hanging="0"/>
        <w:jc w:val="left"/>
        <w:rPr>
          <w:rFonts w:ascii="Neue Haas Grotesk Text Pro" w:hAnsi="Neue Haas Grotesk Text Pro"/>
          <w:b/>
          <w:sz w:val="20"/>
        </w:rPr>
      </w:pPr>
      <w:r>
        <w:rPr>
          <w:rFonts w:ascii="Neue Haas Grotesk Text Pro" w:hAnsi="Neue Haas Grotesk Text Pro"/>
          <w:b/>
          <w:sz w:val="20"/>
        </w:rPr>
        <w:t>Senior Vice President</w:t>
      </w:r>
    </w:p>
    <w:p>
      <w:pPr>
        <w:pStyle w:val="TextBody"/>
        <w:bidi w:val="0"/>
        <w:spacing w:lineRule="auto" w:line="285" w:before="0" w:after="0"/>
        <w:ind w:left="0" w:right="0" w:hanging="0"/>
        <w:jc w:val="left"/>
        <w:rPr>
          <w:rFonts w:ascii="Neue Haas Grotesk Text Pro" w:hAnsi="Neue Haas Grotesk Text Pro"/>
          <w:b/>
          <w:sz w:val="20"/>
        </w:rPr>
      </w:pPr>
      <w:r>
        <w:rPr>
          <w:rFonts w:ascii="Neue Haas Grotesk Text Pro" w:hAnsi="Neue Haas Grotesk Text Pro"/>
          <w:b/>
          <w:sz w:val="20"/>
        </w:rPr>
        <w:t>Head of Corporate Finance</w:t>
      </w:r>
    </w:p>
    <w:p>
      <w:pPr>
        <w:pStyle w:val="TextBody"/>
        <w:bidi w:val="0"/>
        <w:spacing w:lineRule="auto" w:line="285" w:before="0" w:after="0"/>
        <w:ind w:left="0" w:right="0" w:hanging="0"/>
        <w:jc w:val="left"/>
        <w:rPr>
          <w:rFonts w:ascii="Neue Haas Grotesk Text Pro" w:hAnsi="Neue Haas Grotesk Text Pro"/>
          <w:b/>
          <w:sz w:val="20"/>
        </w:rPr>
      </w:pPr>
      <w:r>
        <w:rPr>
          <w:rFonts w:ascii="Neue Haas Grotesk Text Pro" w:hAnsi="Neue Haas Grotesk Text Pro"/>
          <w:b/>
          <w:sz w:val="20"/>
        </w:rPr>
        <w:t>T 212.930.9400</w:t>
      </w:r>
    </w:p>
    <w:p>
      <w:pPr>
        <w:pStyle w:val="TextBody"/>
        <w:bidi w:val="0"/>
        <w:spacing w:lineRule="auto" w:line="285" w:before="0" w:after="0"/>
        <w:ind w:left="0" w:right="0" w:hanging="0"/>
        <w:jc w:val="left"/>
        <w:rPr>
          <w:rFonts w:ascii="F37 Ginger Light;arial;calibri;sans-serif" w:hAnsi="F37 Ginger Light;arial;calibri;sans-serif"/>
          <w:sz w:val="20"/>
        </w:rPr>
      </w:pPr>
      <w:r>
        <w:rPr>
          <w:rFonts w:ascii="Neue Haas Grotesk Text Pro" w:hAnsi="Neue Haas Grotesk Text Pro"/>
          <w:b/>
          <w:sz w:val="20"/>
        </w:rPr>
        <w:t xml:space="preserve">E </w:t>
      </w:r>
      <w:r>
        <w:rPr>
          <w:rFonts w:ascii="Neue Haas Grotesk Text Pro" w:hAnsi="Neue Haas Grotesk Text Pro"/>
          <w:color w:val="0000BF"/>
          <w:sz w:val="20"/>
        </w:rPr>
        <w:t>investors@starholdingsco.com</w:t>
      </w:r>
      <w:r>
        <w:rPr>
          <w:rFonts w:ascii="F37 Ginger Light;arial;calibri;sans-serif" w:hAnsi="F37 Ginger Light;arial;calibri;sans-serif"/>
          <w:color w:val="0000BF"/>
          <w:sz w:val="20"/>
        </w:rPr>
        <w:t xml:space="preserve"> </w:t>
      </w:r>
    </w:p>
    <w:p>
      <w:pPr>
        <w:pStyle w:val="TextBody"/>
        <w:bidi w:val="0"/>
        <w:spacing w:lineRule="atLeast" w:line="240" w:before="0" w:after="0"/>
        <w:ind w:left="0" w:right="0" w:hanging="0"/>
        <w:jc w:val="left"/>
        <w:rPr>
          <w:rFonts w:ascii="F37 Ginger Light;arial;calibri;sans-serif" w:hAnsi="F37 Ginger Light;arial;calibri;sans-serif"/>
          <w:color w:val="808080"/>
          <w:sz w:val="20"/>
        </w:rPr>
      </w:pPr>
      <w:r>
        <w:rPr>
          <w:rFonts w:ascii="F37 Ginger Light;arial;calibri;sans-serif" w:hAnsi="F37 Ginger Light;arial;calibri;sans-serif"/>
          <w:color w:val="808080"/>
          <w:sz w:val="20"/>
        </w:rPr>
        <w:t>1114 Avenue of the Americas</w:t>
      </w:r>
    </w:p>
    <w:p>
      <w:pPr>
        <w:pStyle w:val="TextBody"/>
        <w:bidi w:val="0"/>
        <w:spacing w:lineRule="atLeast" w:line="240" w:before="0" w:after="0"/>
        <w:ind w:left="0" w:right="0" w:hanging="0"/>
        <w:jc w:val="left"/>
        <w:rPr>
          <w:rFonts w:ascii="F37 Ginger Light;arial;calibri;sans-serif" w:hAnsi="F37 Ginger Light;arial;calibri;sans-serif"/>
          <w:color w:val="808080"/>
          <w:sz w:val="20"/>
        </w:rPr>
      </w:pPr>
      <w:r>
        <w:rPr>
          <w:rFonts w:ascii="F37 Ginger Light;arial;calibri;sans-serif" w:hAnsi="F37 Ginger Light;arial;calibri;sans-serif"/>
          <w:color w:val="808080"/>
          <w:sz w:val="20"/>
        </w:rPr>
        <w:t>New York, NY 10036</w:t>
        <w:br/>
        <w:t>T 212.930.9400</w:t>
      </w:r>
    </w:p>
    <w:p>
      <w:pPr>
        <w:pStyle w:val="TextBody"/>
        <w:bidi w:val="0"/>
        <w:spacing w:lineRule="auto" w:line="285" w:before="0" w:after="0"/>
        <w:ind w:left="0" w:right="0" w:hanging="0"/>
        <w:jc w:val="left"/>
        <w:rPr>
          <w:rFonts w:ascii="F37 Ginger Light;arial;calibri;sans-serif" w:hAnsi="F37 Ginger Light;arial;calibri;sans-serif"/>
          <w:color w:val="808080"/>
          <w:sz w:val="20"/>
        </w:rPr>
      </w:pPr>
      <w:r>
        <w:rPr>
          <w:rFonts w:ascii="F37 Ginger Light;arial;calibri;sans-serif" w:hAnsi="F37 Ginger Light;arial;calibri;sans-serif"/>
          <w:color w:val="808080"/>
          <w:sz w:val="20"/>
        </w:rPr>
        <w:t>E investors@starholdingsco.com</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F37 Ginger Light">
    <w:altName w:val="arial"/>
    <w:charset w:val="01"/>
    <w:family w:val="auto"/>
    <w:pitch w:val="default"/>
  </w:font>
  <w:font w:name="Neue Haas Grotesk Text 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800</Words>
  <Characters>4471</Characters>
  <CharactersWithSpaces>5269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