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Star Holdings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3160" w:type="dxa"/>
            <w:vAlign w:val="bottom"/>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001-41572</w:t>
            </w:r>
          </w:p>
        </w:tc>
        <w:tc>
          <w:tcPr>
            <w:tcW w:w="29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37-6762818</w:t>
            </w:r>
          </w:p>
        </w:tc>
      </w:tr>
      <w:tr>
        <w:trPr>
          <w:trHeight w:val="216"/>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3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(Commission</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8"/>
              </w:rPr>
              <w:t>of incorporation)</w:t>
            </w:r>
          </w:p>
        </w:tc>
        <w:tc>
          <w:tcPr>
            <w:tcW w:w="316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8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1114 Avenue of the Americas</w:t>
            </w:r>
          </w:p>
        </w:tc>
        <w:tc>
          <w:tcPr>
            <w:tcW w:w="3160" w:type="dxa"/>
            <w:vAlign w:val="bottom"/>
          </w:tcPr>
          <w:p>
            <w:pPr>
              <w:spacing w:after="0"/>
              <w:rPr>
                <w:sz w:val="24"/>
                <w:szCs w:val="24"/>
                <w:color w:val="auto"/>
              </w:rPr>
            </w:pPr>
          </w:p>
        </w:tc>
        <w:tc>
          <w:tcPr>
            <w:tcW w:w="2980" w:type="dxa"/>
            <w:vAlign w:val="bottom"/>
          </w:tcPr>
          <w:p>
            <w:pPr>
              <w:spacing w:after="0"/>
              <w:rPr>
                <w:sz w:val="24"/>
                <w:szCs w:val="24"/>
                <w:color w:val="auto"/>
              </w:rPr>
            </w:pPr>
          </w:p>
        </w:tc>
      </w:tr>
      <w:tr>
        <w:trPr>
          <w:trHeight w:val="216"/>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rPr>
              <w:t>39th Floor</w:t>
            </w:r>
          </w:p>
        </w:tc>
        <w:tc>
          <w:tcPr>
            <w:tcW w:w="3160" w:type="dxa"/>
            <w:vAlign w:val="bottom"/>
          </w:tcPr>
          <w:p>
            <w:pPr>
              <w:spacing w:after="0"/>
              <w:rPr>
                <w:sz w:val="18"/>
                <w:szCs w:val="18"/>
                <w:color w:val="auto"/>
              </w:rPr>
            </w:pPr>
          </w:p>
        </w:tc>
        <w:tc>
          <w:tcPr>
            <w:tcW w:w="2980" w:type="dxa"/>
            <w:vAlign w:val="bottom"/>
          </w:tcPr>
          <w:p>
            <w:pPr>
              <w:spacing w:after="0"/>
              <w:rPr>
                <w:sz w:val="18"/>
                <w:szCs w:val="18"/>
                <w:color w:val="auto"/>
              </w:rPr>
            </w:pPr>
          </w:p>
        </w:tc>
      </w:tr>
      <w:tr>
        <w:trPr>
          <w:trHeight w:val="216"/>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3160" w:type="dxa"/>
            <w:vAlign w:val="bottom"/>
          </w:tcPr>
          <w:p>
            <w:pPr>
              <w:spacing w:after="0"/>
              <w:rPr>
                <w:sz w:val="18"/>
                <w:szCs w:val="18"/>
                <w:color w:val="auto"/>
              </w:rPr>
            </w:pPr>
          </w:p>
        </w:tc>
        <w:tc>
          <w:tcPr>
            <w:tcW w:w="298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10036</w:t>
            </w:r>
          </w:p>
        </w:tc>
      </w:tr>
      <w:tr>
        <w:trPr>
          <w:trHeight w:val="238"/>
        </w:trPr>
        <w:tc>
          <w:tcPr>
            <w:tcW w:w="3880" w:type="dxa"/>
            <w:vAlign w:val="bottom"/>
          </w:tcPr>
          <w:p>
            <w:pPr>
              <w:jc w:val="center"/>
              <w:ind w:right="8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60" w:type="dxa"/>
            <w:vAlign w:val="bottom"/>
          </w:tcPr>
          <w:p>
            <w:pPr>
              <w:spacing w:after="0"/>
              <w:rPr>
                <w:sz w:val="20"/>
                <w:szCs w:val="20"/>
                <w:color w:val="auto"/>
              </w:rPr>
            </w:pPr>
          </w:p>
        </w:tc>
        <w:tc>
          <w:tcPr>
            <w:tcW w:w="2980" w:type="dxa"/>
            <w:vAlign w:val="bottom"/>
          </w:tcPr>
          <w:p>
            <w:pPr>
              <w:jc w:val="center"/>
              <w:ind w:left="1090"/>
              <w:spacing w:after="0"/>
              <w:rPr>
                <w:sz w:val="20"/>
                <w:szCs w:val="20"/>
                <w:color w:val="auto"/>
              </w:rPr>
            </w:pPr>
            <w:r>
              <w:rPr>
                <w:rFonts w:ascii="Times New Roman" w:cs="Times New Roman" w:eastAsia="Times New Roman" w:hAnsi="Times New Roman"/>
                <w:sz w:val="18"/>
                <w:szCs w:val="18"/>
                <w:b w:val="1"/>
                <w:bCs w:val="1"/>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(212) 930-9400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5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u w:val="single" w:color="auto"/>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3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5"/>
              </w:rPr>
              <w:t>Trading</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c>
          <w:tcPr>
            <w:tcW w:w="0" w:type="dxa"/>
            <w:vAlign w:val="bottom"/>
          </w:tcPr>
          <w:p>
            <w:pPr>
              <w:spacing w:after="0"/>
              <w:rPr>
                <w:sz w:val="1"/>
                <w:szCs w:val="1"/>
                <w:color w:val="auto"/>
              </w:rPr>
            </w:pPr>
          </w:p>
        </w:tc>
      </w:tr>
      <w:tr>
        <w:trPr>
          <w:trHeight w:val="238"/>
        </w:trPr>
        <w:tc>
          <w:tcPr>
            <w:tcW w:w="4360" w:type="dxa"/>
            <w:vAlign w:val="bottom"/>
            <w:gridSpan w:val="2"/>
            <w:vMerge w:val="continue"/>
          </w:tcPr>
          <w:p>
            <w:pPr>
              <w:spacing w:after="0"/>
              <w:rPr>
                <w:sz w:val="20"/>
                <w:szCs w:val="20"/>
                <w:color w:val="auto"/>
              </w:rPr>
            </w:pPr>
          </w:p>
        </w:tc>
        <w:tc>
          <w:tcPr>
            <w:tcW w:w="3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shares of beneficial interest, $0.001 par value</w:t>
            </w:r>
          </w:p>
        </w:tc>
        <w:tc>
          <w:tcPr>
            <w:tcW w:w="220" w:type="dxa"/>
            <w:vAlign w:val="bottom"/>
          </w:tcPr>
          <w:p>
            <w:pPr>
              <w:spacing w:after="0"/>
              <w:rPr>
                <w:sz w:val="19"/>
                <w:szCs w:val="19"/>
                <w:color w:val="auto"/>
              </w:rPr>
            </w:pPr>
          </w:p>
        </w:tc>
        <w:tc>
          <w:tcPr>
            <w:tcW w:w="32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STHO</w:t>
            </w:r>
          </w:p>
        </w:tc>
        <w:tc>
          <w:tcPr>
            <w:tcW w:w="220" w:type="dxa"/>
            <w:vAlign w:val="bottom"/>
          </w:tcPr>
          <w:p>
            <w:pPr>
              <w:spacing w:after="0"/>
              <w:rPr>
                <w:sz w:val="19"/>
                <w:szCs w:val="19"/>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Market</w:t>
            </w:r>
          </w:p>
        </w:tc>
        <w:tc>
          <w:tcPr>
            <w:tcW w:w="0" w:type="dxa"/>
            <w:vAlign w:val="bottom"/>
          </w:tcPr>
          <w:p>
            <w:pPr>
              <w:spacing w:after="0"/>
              <w:rPr>
                <w:sz w:val="1"/>
                <w:szCs w:val="1"/>
                <w:color w:val="auto"/>
              </w:rPr>
            </w:pP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499745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1" w:right="339" w:bottom="1440" w:gutter="0" w:footer="0" w:header="0"/>
        </w:sectPr>
      </w:pPr>
    </w:p>
    <w:bookmarkStart w:id="1" w:name="page2"/>
    <w:bookmarkEnd w:id="1"/>
    <w:p>
      <w:pPr>
        <w:ind w:left="1300"/>
        <w:spacing w:after="0"/>
        <w:rPr>
          <w:sz w:val="20"/>
          <w:szCs w:val="20"/>
          <w:color w:val="auto"/>
        </w:rPr>
      </w:pPr>
      <w:r>
        <w:rPr>
          <w:rFonts w:ascii="Times New Roman" w:cs="Times New Roman" w:eastAsia="Times New Roman" w:hAnsi="Times New Roman"/>
          <w:sz w:val="18"/>
          <w:szCs w:val="18"/>
          <w:b w:val="1"/>
          <w:bCs w:val="1"/>
          <w:color w:val="auto"/>
        </w:rPr>
        <w:t>Submission of Matters to a Vote of Security Holders.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w:t>
      </w:r>
    </w:p>
    <w:p>
      <w:pPr>
        <w:spacing w:after="0" w:line="20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May 21, 2026, Star Holdings (the "Company") held its 2026 Annual Meeting of Shareholders virtually for the purpose of (i) electing three trustees to hold office until the 2027 annual meeting of shareholders and (ii) ratifying the appointment of Deloitte &amp; Touche LLP as the Company's independent registered public accounting firm for the fiscal year ending December 31, 2026. The final voting results for each of the proposals submitted to a vote of shareholders at the annual meeting are set forth below.</w:t>
      </w:r>
    </w:p>
    <w:p>
      <w:pPr>
        <w:spacing w:after="0" w:line="17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1. </w:t>
      </w:r>
      <w:r>
        <w:rPr>
          <w:rFonts w:ascii="Times New Roman" w:cs="Times New Roman" w:eastAsia="Times New Roman" w:hAnsi="Times New Roman"/>
          <w:sz w:val="18"/>
          <w:szCs w:val="18"/>
          <w:i w:val="1"/>
          <w:iCs w:val="1"/>
          <w:color w:val="auto"/>
        </w:rPr>
        <w:t>Election of Trustees: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annual meeting, three trustees were elected for terms continuing until the 2027 annual meeting of shareholders.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nominee, the numbers of votes cast for, votes withheld and broker non-votes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Name of Nominees</w:t>
            </w:r>
          </w:p>
        </w:tc>
        <w:tc>
          <w:tcPr>
            <w:tcW w:w="282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For</w:t>
            </w:r>
          </w:p>
        </w:tc>
        <w:tc>
          <w:tcPr>
            <w:tcW w:w="2900" w:type="dxa"/>
            <w:vAlign w:val="bottom"/>
            <w:gridSpan w:val="2"/>
          </w:tcPr>
          <w:p>
            <w:pPr>
              <w:ind w:left="98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280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Broker Non-Votes</w:t>
            </w:r>
          </w:p>
        </w:tc>
      </w:tr>
      <w:tr>
        <w:trPr>
          <w:trHeight w:val="210"/>
        </w:trPr>
        <w:tc>
          <w:tcPr>
            <w:tcW w:w="26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Clifford De Souza</w:t>
            </w:r>
          </w:p>
        </w:tc>
        <w:tc>
          <w:tcPr>
            <w:tcW w:w="120" w:type="dxa"/>
            <w:vAlign w:val="bottom"/>
            <w:tcBorders>
              <w:top w:val="single" w:sz="8" w:color="CCEEFF"/>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4,214,514</w:t>
            </w:r>
          </w:p>
        </w:tc>
        <w:tc>
          <w:tcPr>
            <w:tcW w:w="220" w:type="dxa"/>
            <w:vAlign w:val="bottom"/>
            <w:tcBorders>
              <w:top w:val="single" w:sz="8" w:color="CCEEFF"/>
            </w:tcBorders>
            <w:shd w:val="clear" w:color="auto" w:fill="CCEEFF"/>
          </w:tcPr>
          <w:p>
            <w:pPr>
              <w:spacing w:after="0"/>
              <w:rPr>
                <w:sz w:val="18"/>
                <w:szCs w:val="18"/>
                <w:color w:val="auto"/>
              </w:rPr>
            </w:pPr>
          </w:p>
        </w:tc>
        <w:tc>
          <w:tcPr>
            <w:tcW w:w="2680" w:type="dxa"/>
            <w:vAlign w:val="bottom"/>
            <w:tcBorders>
              <w:top w:val="single" w:sz="8" w:color="auto"/>
            </w:tcBorders>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822,881</w:t>
            </w:r>
          </w:p>
        </w:tc>
        <w:tc>
          <w:tcPr>
            <w:tcW w:w="22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3,376,031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Richard Lieb</w:t>
            </w:r>
          </w:p>
        </w:tc>
        <w:tc>
          <w:tcPr>
            <w:tcW w:w="26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3,964,651</w:t>
            </w:r>
          </w:p>
        </w:tc>
        <w:tc>
          <w:tcPr>
            <w:tcW w:w="220" w:type="dxa"/>
            <w:vAlign w:val="bottom"/>
          </w:tcPr>
          <w:p>
            <w:pPr>
              <w:spacing w:after="0"/>
              <w:rPr>
                <w:sz w:val="18"/>
                <w:szCs w:val="18"/>
                <w:color w:val="auto"/>
              </w:rPr>
            </w:pPr>
          </w:p>
        </w:tc>
        <w:tc>
          <w:tcPr>
            <w:tcW w:w="2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1,072,744</w:t>
            </w:r>
          </w:p>
        </w:tc>
        <w:tc>
          <w:tcPr>
            <w:tcW w:w="220" w:type="dxa"/>
            <w:vAlign w:val="bottom"/>
          </w:tcPr>
          <w:p>
            <w:pPr>
              <w:spacing w:after="0"/>
              <w:rPr>
                <w:sz w:val="18"/>
                <w:szCs w:val="18"/>
                <w:color w:val="auto"/>
              </w:rPr>
            </w:pPr>
          </w:p>
        </w:tc>
        <w:tc>
          <w:tcPr>
            <w:tcW w:w="270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3,376,031</w:t>
            </w:r>
          </w:p>
        </w:tc>
        <w:tc>
          <w:tcPr>
            <w:tcW w:w="100" w:type="dxa"/>
            <w:vAlign w:val="bottom"/>
          </w:tcPr>
          <w:p>
            <w:pPr>
              <w:spacing w:after="0"/>
              <w:rPr>
                <w:sz w:val="18"/>
                <w:szCs w:val="18"/>
                <w:color w:val="auto"/>
              </w:rPr>
            </w:pPr>
          </w:p>
        </w:tc>
      </w:tr>
      <w:tr>
        <w:trPr>
          <w:trHeight w:val="216"/>
        </w:trPr>
        <w:tc>
          <w:tcPr>
            <w:tcW w:w="27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Nina Matis</w:t>
            </w:r>
          </w:p>
        </w:tc>
        <w:tc>
          <w:tcPr>
            <w:tcW w:w="260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4,213,154</w:t>
            </w:r>
          </w:p>
        </w:tc>
        <w:tc>
          <w:tcPr>
            <w:tcW w:w="220" w:type="dxa"/>
            <w:vAlign w:val="bottom"/>
            <w:shd w:val="clear" w:color="auto" w:fill="CCEEFF"/>
          </w:tcPr>
          <w:p>
            <w:pPr>
              <w:spacing w:after="0"/>
              <w:rPr>
                <w:sz w:val="18"/>
                <w:szCs w:val="18"/>
                <w:color w:val="auto"/>
              </w:rPr>
            </w:pPr>
          </w:p>
        </w:tc>
        <w:tc>
          <w:tcPr>
            <w:tcW w:w="2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824,241</w:t>
            </w:r>
          </w:p>
        </w:tc>
        <w:tc>
          <w:tcPr>
            <w:tcW w:w="220" w:type="dxa"/>
            <w:vAlign w:val="bottom"/>
            <w:shd w:val="clear" w:color="auto" w:fill="CCEEFF"/>
          </w:tcPr>
          <w:p>
            <w:pPr>
              <w:spacing w:after="0"/>
              <w:rPr>
                <w:sz w:val="18"/>
                <w:szCs w:val="18"/>
                <w:color w:val="auto"/>
              </w:rPr>
            </w:pPr>
          </w:p>
        </w:tc>
        <w:tc>
          <w:tcPr>
            <w:tcW w:w="270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3,376,031</w:t>
            </w:r>
          </w:p>
        </w:tc>
        <w:tc>
          <w:tcPr>
            <w:tcW w:w="10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Proposal 2. </w:t>
      </w:r>
      <w:r>
        <w:rPr>
          <w:rFonts w:ascii="Times New Roman" w:cs="Times New Roman" w:eastAsia="Times New Roman" w:hAnsi="Times New Roman"/>
          <w:sz w:val="18"/>
          <w:szCs w:val="18"/>
          <w:i w:val="1"/>
          <w:iCs w:val="1"/>
          <w:color w:val="auto"/>
        </w:rPr>
        <w:t>Ratification of Appointment of Independent Registered Public Accounting Firm: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the annual meeting, the votes on a proposal to ratify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selection of Deloitte &amp; Touche LLP as the Company's independent registered public accounting firm for the fiscal year ending December 31, 2026 were as set out below. The proposal was approved.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3620" w:type="dxa"/>
            <w:vAlign w:val="bottom"/>
            <w:gridSpan w:val="3"/>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3020" w:type="dxa"/>
            <w:vAlign w:val="bottom"/>
            <w:gridSpan w:val="2"/>
          </w:tcPr>
          <w:p>
            <w:pPr>
              <w:ind w:left="72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3580" w:type="dxa"/>
            <w:vAlign w:val="bottom"/>
            <w:gridSpan w:val="2"/>
          </w:tcPr>
          <w:p>
            <w:pPr>
              <w:ind w:left="1280"/>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10"/>
        </w:trPr>
        <w:tc>
          <w:tcPr>
            <w:tcW w:w="1020" w:type="dxa"/>
            <w:vAlign w:val="bottom"/>
            <w:tcBorders>
              <w:top w:val="single" w:sz="8" w:color="auto"/>
            </w:tcBorders>
            <w:shd w:val="clear" w:color="auto" w:fill="CCEEFF"/>
          </w:tcPr>
          <w:p>
            <w:pPr>
              <w:spacing w:after="0"/>
              <w:rPr>
                <w:sz w:val="18"/>
                <w:szCs w:val="18"/>
                <w:color w:val="auto"/>
              </w:rPr>
            </w:pPr>
          </w:p>
        </w:tc>
        <w:tc>
          <w:tcPr>
            <w:tcW w:w="2600" w:type="dxa"/>
            <w:vAlign w:val="bottom"/>
            <w:tcBorders>
              <w:top w:val="single" w:sz="8" w:color="auto"/>
            </w:tcBorders>
            <w:shd w:val="clear" w:color="auto" w:fill="CCEEFF"/>
          </w:tcPr>
          <w:p>
            <w:pPr>
              <w:jc w:val="right"/>
              <w:ind w:right="1350"/>
              <w:spacing w:after="0"/>
              <w:rPr>
                <w:sz w:val="20"/>
                <w:szCs w:val="20"/>
                <w:color w:val="auto"/>
              </w:rPr>
            </w:pPr>
            <w:r>
              <w:rPr>
                <w:rFonts w:ascii="Times New Roman" w:cs="Times New Roman" w:eastAsia="Times New Roman" w:hAnsi="Times New Roman"/>
                <w:sz w:val="18"/>
                <w:szCs w:val="18"/>
                <w:color w:val="auto"/>
              </w:rPr>
              <w:t>8,403,220</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430"/>
              <w:spacing w:after="0"/>
              <w:rPr>
                <w:sz w:val="20"/>
                <w:szCs w:val="20"/>
                <w:color w:val="auto"/>
              </w:rPr>
            </w:pPr>
            <w:r>
              <w:rPr>
                <w:rFonts w:ascii="Times New Roman" w:cs="Times New Roman" w:eastAsia="Times New Roman" w:hAnsi="Times New Roman"/>
                <w:sz w:val="18"/>
                <w:szCs w:val="18"/>
                <w:color w:val="auto"/>
              </w:rPr>
              <w:t>5,711</w:t>
            </w:r>
          </w:p>
        </w:tc>
        <w:tc>
          <w:tcPr>
            <w:tcW w:w="220" w:type="dxa"/>
            <w:vAlign w:val="bottom"/>
            <w:tcBorders>
              <w:top w:val="single" w:sz="8" w:color="CCEEFF"/>
            </w:tcBorders>
            <w:shd w:val="clear" w:color="auto" w:fill="CCEEFF"/>
          </w:tcPr>
          <w:p>
            <w:pPr>
              <w:spacing w:after="0"/>
              <w:rPr>
                <w:sz w:val="18"/>
                <w:szCs w:val="18"/>
                <w:color w:val="auto"/>
              </w:rPr>
            </w:pPr>
          </w:p>
        </w:tc>
        <w:tc>
          <w:tcPr>
            <w:tcW w:w="3480" w:type="dxa"/>
            <w:vAlign w:val="bottom"/>
            <w:tcBorders>
              <w:top w:val="single" w:sz="8" w:color="auto"/>
            </w:tcBorders>
            <w:shd w:val="clear" w:color="auto" w:fill="CCEEFF"/>
          </w:tcPr>
          <w:p>
            <w:pPr>
              <w:jc w:val="right"/>
              <w:ind w:right="1390"/>
              <w:spacing w:after="0"/>
              <w:rPr>
                <w:sz w:val="20"/>
                <w:szCs w:val="20"/>
                <w:color w:val="auto"/>
              </w:rPr>
            </w:pPr>
            <w:r>
              <w:rPr>
                <w:rFonts w:ascii="Times New Roman" w:cs="Times New Roman" w:eastAsia="Times New Roman" w:hAnsi="Times New Roman"/>
                <w:sz w:val="18"/>
                <w:szCs w:val="18"/>
                <w:color w:val="auto"/>
              </w:rPr>
              <w:t>4,495</w:t>
            </w:r>
          </w:p>
        </w:tc>
        <w:tc>
          <w:tcPr>
            <w:tcW w:w="100" w:type="dxa"/>
            <w:vAlign w:val="bottom"/>
            <w:tcBorders>
              <w:top w:val="single" w:sz="8" w:color="CCEEFF"/>
            </w:tcBorders>
            <w:shd w:val="clear" w:color="auto" w:fill="CCEEFF"/>
          </w:tcPr>
          <w:p>
            <w:pPr>
              <w:spacing w:after="0"/>
              <w:rPr>
                <w:sz w:val="18"/>
                <w:szCs w:val="18"/>
                <w:color w:val="auto"/>
              </w:rPr>
            </w:pPr>
          </w:p>
        </w:tc>
      </w:tr>
      <w:tr>
        <w:trPr>
          <w:trHeight w:val="432"/>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362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2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Exhibit 104 Inline XBRL for the cover page of this Current Report on Form 8-K.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Star Holdings</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Brett Asnas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Name: Brett Asnas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2026-05-22T15:05:57Z</dcterms:created>
  <dcterms:modified xsi:type="dcterms:W3CDTF">2026-05-22T15:05:57Z</dcterms:modified>
</cp:coreProperties>
</file>