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6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3"/>
          <w:szCs w:val="23"/>
          <w:color w:val="auto"/>
        </w:rPr>
        <w:t>SCHEDULE 14A</w:t>
      </w:r>
    </w:p>
    <w:p>
      <w:pPr>
        <w:spacing w:after="0" w:line="17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2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the Securities Exchange Act of 1934</w:t>
      </w:r>
    </w:p>
    <w:p>
      <w:pPr>
        <w:spacing w:after="0" w:line="16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7"/>
          <w:szCs w:val="17"/>
          <w:color w:val="auto"/>
        </w:rPr>
        <w:t xml:space="preserve">(Amendment No. </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 xml:space="preserve"> )</w:t>
      </w:r>
    </w:p>
    <w:p>
      <w:pPr>
        <w:spacing w:after="0" w:line="1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6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8" w:lineRule="exact"/>
        <w:rPr>
          <w:sz w:val="24"/>
          <w:szCs w:val="24"/>
          <w:color w:val="auto"/>
        </w:rPr>
      </w:pPr>
    </w:p>
    <w:p>
      <w:pPr>
        <w:ind w:left="400" w:hanging="399"/>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46" w:lineRule="exact"/>
        <w:rPr>
          <w:rFonts w:ascii="MS PGothic" w:cs="MS PGothic" w:eastAsia="MS PGothic" w:hAnsi="MS PGothic"/>
          <w:sz w:val="17"/>
          <w:szCs w:val="17"/>
          <w:color w:val="auto"/>
        </w:rPr>
      </w:pPr>
    </w:p>
    <w:p>
      <w:pPr>
        <w:ind w:left="400" w:hanging="399"/>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40"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40" w:lineRule="exact"/>
        <w:rPr>
          <w:rFonts w:ascii="MS PGothic" w:cs="MS PGothic" w:eastAsia="MS PGothic" w:hAnsi="MS PGothic"/>
          <w:sz w:val="17"/>
          <w:szCs w:val="17"/>
          <w:color w:val="auto"/>
        </w:rPr>
      </w:pPr>
    </w:p>
    <w:p>
      <w:pPr>
        <w:ind w:left="400" w:hanging="399"/>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40" w:lineRule="exact"/>
        <w:rPr>
          <w:rFonts w:ascii="MS PGothic" w:cs="MS PGothic" w:eastAsia="MS PGothic" w:hAnsi="MS PGothic"/>
          <w:sz w:val="17"/>
          <w:szCs w:val="17"/>
          <w:color w:val="auto"/>
        </w:rPr>
      </w:pPr>
    </w:p>
    <w:p>
      <w:pPr>
        <w:ind w:left="380" w:hanging="379"/>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7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STAR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2985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62985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78" w:lineRule="exact"/>
        <w:rPr>
          <w:sz w:val="24"/>
          <w:szCs w:val="24"/>
          <w:color w:val="auto"/>
        </w:rPr>
      </w:pPr>
    </w:p>
    <w:p>
      <w:pPr>
        <w:ind w:left="400" w:hanging="399"/>
        <w:spacing w:after="0"/>
        <w:tabs>
          <w:tab w:leader="none" w:pos="4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66" w:lineRule="exact"/>
        <w:rPr>
          <w:sz w:val="24"/>
          <w:szCs w:val="24"/>
          <w:color w:val="auto"/>
        </w:rPr>
      </w:pPr>
    </w:p>
    <w:p>
      <w:pPr>
        <w:ind w:left="400" w:hanging="399"/>
        <w:spacing w:after="0"/>
        <w:tabs>
          <w:tab w:leader="none" w:pos="4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65" w:lineRule="exact"/>
        <w:rPr>
          <w:rFonts w:ascii="MS PGothic" w:cs="MS PGothic" w:eastAsia="MS PGothic" w:hAnsi="MS PGothic"/>
          <w:sz w:val="17"/>
          <w:szCs w:val="17"/>
          <w:color w:val="auto"/>
        </w:rPr>
      </w:pPr>
    </w:p>
    <w:p>
      <w:pPr>
        <w:ind w:left="400" w:hanging="399"/>
        <w:spacing w:after="0"/>
        <w:tabs>
          <w:tab w:leader="none" w:pos="4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612775</wp:posOffset>
            </wp:positionV>
            <wp:extent cx="630682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6820" cy="15875"/>
                    </a:xfrm>
                    <a:prstGeom prst="rect">
                      <a:avLst/>
                    </a:prstGeom>
                    <a:noFill/>
                  </pic:spPr>
                </pic:pic>
              </a:graphicData>
            </a:graphic>
          </wp:anchor>
        </w:drawing>
      </w:r>
    </w:p>
    <w:p>
      <w:pPr>
        <w:sectPr>
          <w:pgSz w:w="11900" w:h="16838" w:orient="portrait"/>
          <w:cols w:equalWidth="0" w:num="1">
            <w:col w:w="9479"/>
          </w:cols>
          <w:pgMar w:left="980" w:top="62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57555" cy="133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7555" cy="13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1114 Avenue of the Americas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10036</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Notice of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306820"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268" w:lineRule="exact"/>
        <w:rPr>
          <w:sz w:val="20"/>
          <w:szCs w:val="20"/>
          <w:color w:val="auto"/>
        </w:rPr>
      </w:pPr>
    </w:p>
    <w:tbl>
      <w:tblPr>
        <w:tblLayout w:type="fixed"/>
        <w:tblInd w:w="680" w:type="dxa"/>
        <w:tblCellMar>
          <w:top w:w="0" w:type="dxa"/>
          <w:left w:w="0" w:type="dxa"/>
          <w:bottom w:w="0" w:type="dxa"/>
          <w:right w:w="0" w:type="dxa"/>
        </w:tblCellMar>
      </w:tblPr>
      <w:tr>
        <w:trPr>
          <w:trHeight w:val="396"/>
        </w:trPr>
        <w:tc>
          <w:tcPr>
            <w:tcW w:w="20" w:type="dxa"/>
            <w:vAlign w:val="bottom"/>
          </w:tcPr>
          <w:p>
            <w:pPr>
              <w:spacing w:after="0"/>
              <w:rPr>
                <w:sz w:val="24"/>
                <w:szCs w:val="24"/>
                <w:color w:val="auto"/>
              </w:rPr>
            </w:pPr>
          </w:p>
        </w:tc>
        <w:tc>
          <w:tcPr>
            <w:tcW w:w="2480" w:type="dxa"/>
            <w:vAlign w:val="bottom"/>
            <w:shd w:val="clear" w:color="auto" w:fill="1D4E8F"/>
          </w:tcPr>
          <w:p>
            <w:pPr>
              <w:ind w:left="40"/>
              <w:spacing w:after="0"/>
              <w:rPr>
                <w:sz w:val="20"/>
                <w:szCs w:val="20"/>
                <w:color w:val="auto"/>
              </w:rPr>
            </w:pPr>
            <w:r>
              <w:rPr>
                <w:rFonts w:ascii="Times New Roman" w:cs="Times New Roman" w:eastAsia="Times New Roman" w:hAnsi="Times New Roman"/>
                <w:sz w:val="20"/>
                <w:szCs w:val="20"/>
                <w:color w:val="FFFFFF"/>
              </w:rPr>
              <w:t>When</w:t>
            </w:r>
          </w:p>
        </w:tc>
        <w:tc>
          <w:tcPr>
            <w:tcW w:w="5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4"/>
                <w:szCs w:val="24"/>
                <w:color w:val="auto"/>
              </w:rPr>
            </w:pPr>
          </w:p>
        </w:tc>
        <w:tc>
          <w:tcPr>
            <w:tcW w:w="2480" w:type="dxa"/>
            <w:vAlign w:val="bottom"/>
            <w:shd w:val="clear" w:color="auto" w:fill="1D4E8F"/>
          </w:tcPr>
          <w:p>
            <w:pPr>
              <w:ind w:left="40"/>
              <w:spacing w:after="0"/>
              <w:rPr>
                <w:sz w:val="20"/>
                <w:szCs w:val="20"/>
                <w:color w:val="auto"/>
              </w:rPr>
            </w:pPr>
            <w:r>
              <w:rPr>
                <w:rFonts w:ascii="Times New Roman" w:cs="Times New Roman" w:eastAsia="Times New Roman" w:hAnsi="Times New Roman"/>
                <w:sz w:val="20"/>
                <w:szCs w:val="20"/>
                <w:color w:val="FFFFFF"/>
              </w:rPr>
              <w:t>Where</w:t>
            </w:r>
          </w:p>
        </w:tc>
        <w:tc>
          <w:tcPr>
            <w:tcW w:w="5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24"/>
                <w:szCs w:val="24"/>
                <w:color w:val="auto"/>
              </w:rPr>
            </w:pPr>
          </w:p>
        </w:tc>
        <w:tc>
          <w:tcPr>
            <w:tcW w:w="2480" w:type="dxa"/>
            <w:vAlign w:val="bottom"/>
            <w:shd w:val="clear" w:color="auto" w:fill="1D4E8F"/>
          </w:tcPr>
          <w:p>
            <w:pPr>
              <w:ind w:left="60"/>
              <w:spacing w:after="0"/>
              <w:rPr>
                <w:sz w:val="20"/>
                <w:szCs w:val="20"/>
                <w:color w:val="auto"/>
              </w:rPr>
            </w:pPr>
            <w:r>
              <w:rPr>
                <w:rFonts w:ascii="Times New Roman" w:cs="Times New Roman" w:eastAsia="Times New Roman" w:hAnsi="Times New Roman"/>
                <w:sz w:val="20"/>
                <w:szCs w:val="20"/>
                <w:color w:val="FFFFFF"/>
              </w:rPr>
              <w:t>Record Date</w:t>
            </w:r>
          </w:p>
        </w:tc>
      </w:tr>
      <w:tr>
        <w:trPr>
          <w:trHeight w:val="164"/>
        </w:trPr>
        <w:tc>
          <w:tcPr>
            <w:tcW w:w="20" w:type="dxa"/>
            <w:vAlign w:val="bottom"/>
          </w:tcPr>
          <w:p>
            <w:pPr>
              <w:spacing w:after="0"/>
              <w:rPr>
                <w:sz w:val="14"/>
                <w:szCs w:val="14"/>
                <w:color w:val="auto"/>
              </w:rPr>
            </w:pPr>
          </w:p>
        </w:tc>
        <w:tc>
          <w:tcPr>
            <w:tcW w:w="2480" w:type="dxa"/>
            <w:vAlign w:val="bottom"/>
            <w:shd w:val="clear" w:color="auto" w:fill="1D4E8F"/>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shd w:val="clear" w:color="auto" w:fill="1D4E8F"/>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shd w:val="clear" w:color="auto" w:fill="1D4E8F"/>
          </w:tcPr>
          <w:p>
            <w:pPr>
              <w:spacing w:after="0"/>
              <w:rPr>
                <w:sz w:val="14"/>
                <w:szCs w:val="14"/>
                <w:color w:val="auto"/>
              </w:rPr>
            </w:pPr>
          </w:p>
        </w:tc>
      </w:tr>
      <w:tr>
        <w:trPr>
          <w:trHeight w:val="257"/>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Thursday, May 21, 2026</w:t>
            </w:r>
          </w:p>
        </w:tc>
        <w:tc>
          <w:tcPr>
            <w:tcW w:w="540" w:type="dxa"/>
            <w:vAlign w:val="bottom"/>
          </w:tcPr>
          <w:p>
            <w:pPr>
              <w:spacing w:after="0"/>
              <w:rPr>
                <w:sz w:val="22"/>
                <w:szCs w:val="22"/>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A virtual meeting via the internet at</w:t>
            </w:r>
          </w:p>
        </w:tc>
        <w:tc>
          <w:tcPr>
            <w:tcW w:w="520" w:type="dxa"/>
            <w:vAlign w:val="bottom"/>
          </w:tcPr>
          <w:p>
            <w:pPr>
              <w:spacing w:after="0"/>
              <w:rPr>
                <w:sz w:val="22"/>
                <w:szCs w:val="22"/>
                <w:color w:val="auto"/>
              </w:rPr>
            </w:pPr>
          </w:p>
        </w:tc>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w w:val="99"/>
              </w:rPr>
              <w:t>The close of business on March 27, 2026</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9:00 a.m. Eastern time</w:t>
            </w:r>
          </w:p>
        </w:tc>
        <w:tc>
          <w:tcPr>
            <w:tcW w:w="540" w:type="dxa"/>
            <w:vAlign w:val="bottom"/>
          </w:tcPr>
          <w:p>
            <w:pPr>
              <w:spacing w:after="0"/>
              <w:rPr>
                <w:sz w:val="18"/>
                <w:szCs w:val="18"/>
                <w:color w:val="auto"/>
              </w:rPr>
            </w:pPr>
          </w:p>
        </w:tc>
        <w:tc>
          <w:tcPr>
            <w:tcW w:w="28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211D1E"/>
              </w:rPr>
              <w:t>meetnow.global/M6JSJLU</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331470" cy="331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470" cy="33147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-647065</wp:posOffset>
            </wp:positionV>
            <wp:extent cx="331470" cy="331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470" cy="331470"/>
                    </a:xfrm>
                    <a:prstGeom prst="rect">
                      <a:avLst/>
                    </a:prstGeom>
                    <a:noFill/>
                  </pic:spPr>
                </pic:pic>
              </a:graphicData>
            </a:graphic>
          </wp:anchor>
        </w:drawing>
        <w:drawing>
          <wp:anchor simplePos="0" relativeHeight="251657728" behindDoc="1" locked="0" layoutInCell="0" allowOverlap="1">
            <wp:simplePos x="0" y="0"/>
            <wp:positionH relativeFrom="column">
              <wp:posOffset>4300855</wp:posOffset>
            </wp:positionH>
            <wp:positionV relativeFrom="paragraph">
              <wp:posOffset>-647065</wp:posOffset>
            </wp:positionV>
            <wp:extent cx="331470" cy="3314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470" cy="33147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Items of Business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100" w:type="dxa"/>
            <w:vAlign w:val="bottom"/>
            <w:tcBorders>
              <w:top w:val="single" w:sz="8" w:color="1D4E8F"/>
            </w:tcBorders>
            <w:gridSpan w:val="2"/>
          </w:tcPr>
          <w:p>
            <w:pPr>
              <w:spacing w:after="0"/>
              <w:rPr>
                <w:sz w:val="20"/>
                <w:szCs w:val="20"/>
                <w:color w:val="auto"/>
              </w:rPr>
            </w:pPr>
            <w:r>
              <w:rPr>
                <w:rFonts w:ascii="Times New Roman" w:cs="Times New Roman" w:eastAsia="Times New Roman" w:hAnsi="Times New Roman"/>
                <w:sz w:val="20"/>
                <w:szCs w:val="20"/>
                <w:color w:val="1D4E8F"/>
              </w:rPr>
              <w:t>Proposal 1</w:t>
            </w:r>
          </w:p>
        </w:tc>
        <w:tc>
          <w:tcPr>
            <w:tcW w:w="8820" w:type="dxa"/>
            <w:vAlign w:val="bottom"/>
            <w:tcBorders>
              <w:top w:val="single" w:sz="8" w:color="1D4E8F"/>
            </w:tcBorders>
          </w:tcPr>
          <w:p>
            <w:pPr>
              <w:ind w:left="240"/>
              <w:spacing w:after="0"/>
              <w:rPr>
                <w:sz w:val="20"/>
                <w:szCs w:val="20"/>
                <w:color w:val="auto"/>
              </w:rPr>
            </w:pPr>
            <w:r>
              <w:rPr>
                <w:rFonts w:ascii="Times New Roman" w:cs="Times New Roman" w:eastAsia="Times New Roman" w:hAnsi="Times New Roman"/>
                <w:sz w:val="17"/>
                <w:szCs w:val="17"/>
                <w:color w:val="auto"/>
              </w:rPr>
              <w:t>Election of three trustees</w:t>
            </w:r>
          </w:p>
        </w:tc>
      </w:tr>
      <w:tr>
        <w:trPr>
          <w:trHeight w:val="76"/>
        </w:trPr>
        <w:tc>
          <w:tcPr>
            <w:tcW w:w="1100" w:type="dxa"/>
            <w:vAlign w:val="bottom"/>
            <w:tcBorders>
              <w:bottom w:val="single" w:sz="8" w:color="1D4E8F"/>
            </w:tcBorders>
            <w:gridSpan w:val="2"/>
          </w:tcPr>
          <w:p>
            <w:pPr>
              <w:spacing w:after="0"/>
              <w:rPr>
                <w:sz w:val="6"/>
                <w:szCs w:val="6"/>
                <w:color w:val="auto"/>
              </w:rPr>
            </w:pPr>
          </w:p>
        </w:tc>
        <w:tc>
          <w:tcPr>
            <w:tcW w:w="8820" w:type="dxa"/>
            <w:vAlign w:val="bottom"/>
            <w:tcBorders>
              <w:bottom w:val="single" w:sz="8" w:color="1D4E8F"/>
            </w:tcBorders>
          </w:tcPr>
          <w:p>
            <w:pPr>
              <w:spacing w:after="0"/>
              <w:rPr>
                <w:sz w:val="6"/>
                <w:szCs w:val="6"/>
                <w:color w:val="auto"/>
              </w:rPr>
            </w:pPr>
          </w:p>
        </w:tc>
      </w:tr>
      <w:tr>
        <w:trPr>
          <w:trHeight w:val="187"/>
        </w:trPr>
        <w:tc>
          <w:tcPr>
            <w:tcW w:w="1100" w:type="dxa"/>
            <w:vAlign w:val="bottom"/>
            <w:gridSpan w:val="2"/>
          </w:tcPr>
          <w:p>
            <w:pPr>
              <w:spacing w:after="0" w:line="187" w:lineRule="exact"/>
              <w:rPr>
                <w:sz w:val="20"/>
                <w:szCs w:val="20"/>
                <w:color w:val="auto"/>
              </w:rPr>
            </w:pPr>
            <w:r>
              <w:rPr>
                <w:rFonts w:ascii="Times New Roman" w:cs="Times New Roman" w:eastAsia="Times New Roman" w:hAnsi="Times New Roman"/>
                <w:sz w:val="20"/>
                <w:szCs w:val="20"/>
                <w:color w:val="1D4E8F"/>
              </w:rPr>
              <w:t>Proposal 2</w:t>
            </w:r>
          </w:p>
        </w:tc>
        <w:tc>
          <w:tcPr>
            <w:tcW w:w="8820" w:type="dxa"/>
            <w:vAlign w:val="bottom"/>
          </w:tcPr>
          <w:p>
            <w:pPr>
              <w:ind w:left="240"/>
              <w:spacing w:after="0" w:line="187" w:lineRule="exact"/>
              <w:rPr>
                <w:sz w:val="20"/>
                <w:szCs w:val="20"/>
                <w:color w:val="auto"/>
              </w:rPr>
            </w:pPr>
            <w:r>
              <w:rPr>
                <w:rFonts w:ascii="Times New Roman" w:cs="Times New Roman" w:eastAsia="Times New Roman" w:hAnsi="Times New Roman"/>
                <w:sz w:val="17"/>
                <w:szCs w:val="17"/>
                <w:color w:val="auto"/>
              </w:rPr>
              <w:t>Ratification of the appointment of Deloitte &amp; Touche LLP as our independent registered public accounting firm for the</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fiscal year ending December 31, 2026</w:t>
            </w:r>
          </w:p>
        </w:tc>
      </w:tr>
      <w:tr>
        <w:trPr>
          <w:trHeight w:val="99"/>
        </w:trPr>
        <w:tc>
          <w:tcPr>
            <w:tcW w:w="20" w:type="dxa"/>
            <w:vAlign w:val="bottom"/>
          </w:tcPr>
          <w:p>
            <w:pPr>
              <w:spacing w:after="0"/>
              <w:rPr>
                <w:sz w:val="8"/>
                <w:szCs w:val="8"/>
                <w:color w:val="auto"/>
              </w:rPr>
            </w:pPr>
          </w:p>
        </w:tc>
        <w:tc>
          <w:tcPr>
            <w:tcW w:w="1080" w:type="dxa"/>
            <w:vAlign w:val="bottom"/>
            <w:tcBorders>
              <w:bottom w:val="single" w:sz="8" w:color="1D4E8F"/>
            </w:tcBorders>
          </w:tcPr>
          <w:p>
            <w:pPr>
              <w:spacing w:after="0"/>
              <w:rPr>
                <w:sz w:val="8"/>
                <w:szCs w:val="8"/>
                <w:color w:val="auto"/>
              </w:rPr>
            </w:pPr>
          </w:p>
        </w:tc>
        <w:tc>
          <w:tcPr>
            <w:tcW w:w="8820" w:type="dxa"/>
            <w:vAlign w:val="bottom"/>
            <w:tcBorders>
              <w:bottom w:val="single" w:sz="8" w:color="1D4E8F"/>
            </w:tcBorders>
          </w:tcPr>
          <w:p>
            <w:pPr>
              <w:spacing w:after="0"/>
              <w:rPr>
                <w:sz w:val="8"/>
                <w:szCs w:val="8"/>
                <w:color w:val="auto"/>
              </w:rPr>
            </w:pPr>
          </w:p>
        </w:tc>
      </w:tr>
      <w:tr>
        <w:trPr>
          <w:trHeight w:val="187"/>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20" w:type="dxa"/>
            <w:vAlign w:val="bottom"/>
          </w:tcPr>
          <w:p>
            <w:pPr>
              <w:ind w:left="240"/>
              <w:spacing w:after="0" w:line="187" w:lineRule="exact"/>
              <w:rPr>
                <w:sz w:val="20"/>
                <w:szCs w:val="20"/>
                <w:color w:val="auto"/>
              </w:rPr>
            </w:pPr>
            <w:r>
              <w:rPr>
                <w:rFonts w:ascii="Times New Roman" w:cs="Times New Roman" w:eastAsia="Times New Roman" w:hAnsi="Times New Roman"/>
                <w:sz w:val="17"/>
                <w:szCs w:val="17"/>
                <w:color w:val="auto"/>
              </w:rPr>
              <w:t>In addition, we will transact such other business as may properly come before the annual meeting or any postponement or</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adjournment of the meeting.</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1D4E8F"/>
            </w:tcBorders>
          </w:tcPr>
          <w:p>
            <w:pPr>
              <w:spacing w:after="0"/>
              <w:rPr>
                <w:sz w:val="12"/>
                <w:szCs w:val="12"/>
                <w:color w:val="auto"/>
              </w:rPr>
            </w:pPr>
          </w:p>
        </w:tc>
        <w:tc>
          <w:tcPr>
            <w:tcW w:w="8820" w:type="dxa"/>
            <w:vAlign w:val="bottom"/>
            <w:tcBorders>
              <w:bottom w:val="single" w:sz="8" w:color="1D4E8F"/>
            </w:tcBorders>
          </w:tcPr>
          <w:p>
            <w:pPr>
              <w:spacing w:after="0"/>
              <w:rPr>
                <w:sz w:val="12"/>
                <w:szCs w:val="12"/>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Record Date</w:t>
      </w:r>
    </w:p>
    <w:p>
      <w:pPr>
        <w:spacing w:after="0" w:line="218" w:lineRule="exact"/>
        <w:rPr>
          <w:sz w:val="20"/>
          <w:szCs w:val="20"/>
          <w:color w:val="auto"/>
        </w:rPr>
      </w:pPr>
    </w:p>
    <w:p>
      <w:pPr>
        <w:jc w:val="both"/>
        <w:ind w:right="360"/>
        <w:spacing w:after="0" w:line="280" w:lineRule="auto"/>
        <w:rPr>
          <w:sz w:val="20"/>
          <w:szCs w:val="20"/>
          <w:color w:val="auto"/>
        </w:rPr>
      </w:pPr>
      <w:r>
        <w:rPr>
          <w:rFonts w:ascii="Times New Roman" w:cs="Times New Roman" w:eastAsia="Times New Roman" w:hAnsi="Times New Roman"/>
          <w:sz w:val="16"/>
          <w:szCs w:val="16"/>
          <w:color w:val="auto"/>
        </w:rPr>
        <w:t>The Board of Trustees (the “Board”) has fixed the close of business on March 27, 2026 as the record date for the determination of shareholders entitled to receive notice of and to vote at the annual meeting or any postponement or adjournment of the meeting. Only holders of record of our common shares of beneficial interest at the close of business on that date will be entitled to vote at the annual meeting.</w:t>
      </w:r>
    </w:p>
    <w:p>
      <w:pPr>
        <w:spacing w:after="0" w:line="10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By Order of the Board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75565</wp:posOffset>
            </wp:positionV>
            <wp:extent cx="1049655" cy="181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9655" cy="1816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b w:val="1"/>
          <w:bCs w:val="1"/>
          <w:color w:val="auto"/>
        </w:rPr>
        <w:t>Austin L. Lee</w:t>
      </w:r>
    </w:p>
    <w:p>
      <w:pPr>
        <w:spacing w:after="0" w:line="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General Counsel, Corporate and Secretary</w:t>
      </w:r>
    </w:p>
    <w:p>
      <w:pPr>
        <w:spacing w:after="0" w:line="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8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715010</wp:posOffset>
            </wp:positionV>
            <wp:extent cx="630682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6820" cy="15875"/>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How to Vote</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20" w:type="dxa"/>
            <w:vAlign w:val="bottom"/>
            <w:tcBorders>
              <w:top w:val="single" w:sz="8" w:color="999999"/>
              <w:left w:val="single" w:sz="8" w:color="999999"/>
            </w:tcBorders>
          </w:tcPr>
          <w:p>
            <w:pPr>
              <w:spacing w:after="0"/>
              <w:rPr>
                <w:sz w:val="19"/>
                <w:szCs w:val="19"/>
                <w:color w:val="auto"/>
              </w:rPr>
            </w:pPr>
          </w:p>
        </w:tc>
        <w:tc>
          <w:tcPr>
            <w:tcW w:w="2460" w:type="dxa"/>
            <w:vAlign w:val="bottom"/>
            <w:tcBorders>
              <w:top w:val="single" w:sz="8" w:color="999999"/>
            </w:tcBorders>
          </w:tcPr>
          <w:p>
            <w:pPr>
              <w:spacing w:after="0"/>
              <w:rPr>
                <w:sz w:val="19"/>
                <w:szCs w:val="19"/>
                <w:color w:val="auto"/>
              </w:rPr>
            </w:pPr>
          </w:p>
        </w:tc>
        <w:tc>
          <w:tcPr>
            <w:tcW w:w="3640" w:type="dxa"/>
            <w:vAlign w:val="bottom"/>
            <w:tcBorders>
              <w:top w:val="single" w:sz="8" w:color="999999"/>
            </w:tcBorders>
          </w:tcPr>
          <w:p>
            <w:pPr>
              <w:ind w:left="280"/>
              <w:spacing w:after="0"/>
              <w:rPr>
                <w:sz w:val="20"/>
                <w:szCs w:val="20"/>
                <w:color w:val="auto"/>
              </w:rPr>
            </w:pPr>
            <w:r>
              <w:rPr>
                <w:rFonts w:ascii="Times New Roman" w:cs="Times New Roman" w:eastAsia="Times New Roman" w:hAnsi="Times New Roman"/>
                <w:sz w:val="17"/>
                <w:szCs w:val="17"/>
                <w:color w:val="auto"/>
              </w:rPr>
              <w:t>Registered Holders</w:t>
            </w:r>
          </w:p>
        </w:tc>
        <w:tc>
          <w:tcPr>
            <w:tcW w:w="3700" w:type="dxa"/>
            <w:vAlign w:val="bottom"/>
            <w:tcBorders>
              <w:top w:val="single" w:sz="8" w:color="999999"/>
              <w:right w:val="single" w:sz="8" w:color="999999"/>
            </w:tcBorders>
          </w:tcPr>
          <w:p>
            <w:pPr>
              <w:ind w:left="180"/>
              <w:spacing w:after="0"/>
              <w:rPr>
                <w:sz w:val="20"/>
                <w:szCs w:val="20"/>
                <w:color w:val="auto"/>
              </w:rPr>
            </w:pPr>
            <w:r>
              <w:rPr>
                <w:rFonts w:ascii="Times New Roman" w:cs="Times New Roman" w:eastAsia="Times New Roman" w:hAnsi="Times New Roman"/>
                <w:sz w:val="17"/>
                <w:szCs w:val="17"/>
                <w:color w:val="auto"/>
              </w:rPr>
              <w:t>Beneficial Owners</w:t>
            </w:r>
          </w:p>
        </w:tc>
        <w:tc>
          <w:tcPr>
            <w:tcW w:w="0" w:type="dxa"/>
            <w:vAlign w:val="bottom"/>
          </w:tcPr>
          <w:p>
            <w:pPr>
              <w:spacing w:after="0"/>
              <w:rPr>
                <w:sz w:val="1"/>
                <w:szCs w:val="1"/>
                <w:color w:val="auto"/>
              </w:rPr>
            </w:pPr>
          </w:p>
        </w:tc>
      </w:tr>
      <w:tr>
        <w:trPr>
          <w:trHeight w:val="340"/>
        </w:trPr>
        <w:tc>
          <w:tcPr>
            <w:tcW w:w="120" w:type="dxa"/>
            <w:vAlign w:val="bottom"/>
            <w:tcBorders>
              <w:left w:val="single" w:sz="8" w:color="999999"/>
            </w:tcBorders>
          </w:tcPr>
          <w:p>
            <w:pPr>
              <w:spacing w:after="0"/>
              <w:rPr>
                <w:sz w:val="24"/>
                <w:szCs w:val="24"/>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order to vote online or by telephone, you must have the shareholder identification</w:t>
            </w:r>
          </w:p>
        </w:tc>
        <w:tc>
          <w:tcPr>
            <w:tcW w:w="3700" w:type="dxa"/>
            <w:vAlign w:val="bottom"/>
            <w:tcBorders>
              <w:right w:val="single" w:sz="8" w:color="999999"/>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999999"/>
            </w:tcBorders>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number that appears on the enclosed Notice of Internet Availability of Proxy Materials.</w:t>
            </w:r>
          </w:p>
        </w:tc>
        <w:tc>
          <w:tcPr>
            <w:tcW w:w="3700" w:type="dxa"/>
            <w:vAlign w:val="bottom"/>
            <w:tcBorders>
              <w:right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999999"/>
            </w:tcBorders>
          </w:tcPr>
          <w:p>
            <w:pPr>
              <w:spacing w:after="0"/>
              <w:rPr>
                <w:sz w:val="20"/>
                <w:szCs w:val="20"/>
                <w:color w:val="auto"/>
              </w:rPr>
            </w:pPr>
          </w:p>
        </w:tc>
        <w:tc>
          <w:tcPr>
            <w:tcW w:w="2460" w:type="dxa"/>
            <w:vAlign w:val="bottom"/>
            <w:tcBorders>
              <w:bottom w:val="single" w:sz="8" w:color="1D4E8F"/>
            </w:tcBorders>
          </w:tcPr>
          <w:p>
            <w:pPr>
              <w:spacing w:after="0"/>
              <w:rPr>
                <w:sz w:val="20"/>
                <w:szCs w:val="20"/>
                <w:color w:val="auto"/>
              </w:rPr>
            </w:pPr>
          </w:p>
        </w:tc>
        <w:tc>
          <w:tcPr>
            <w:tcW w:w="3640" w:type="dxa"/>
            <w:vAlign w:val="bottom"/>
            <w:tcBorders>
              <w:bottom w:val="single" w:sz="8" w:color="1D4E8F"/>
            </w:tcBorders>
          </w:tcPr>
          <w:p>
            <w:pPr>
              <w:spacing w:after="0"/>
              <w:rPr>
                <w:sz w:val="20"/>
                <w:szCs w:val="20"/>
                <w:color w:val="auto"/>
              </w:rPr>
            </w:pPr>
          </w:p>
        </w:tc>
        <w:tc>
          <w:tcPr>
            <w:tcW w:w="3700" w:type="dxa"/>
            <w:vAlign w:val="bottom"/>
            <w:tcBorders>
              <w:bottom w:val="single" w:sz="8" w:color="1D4E8F"/>
              <w:right w:val="single" w:sz="8" w:color="999999"/>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Borders>
              <w:left w:val="single" w:sz="8" w:color="999999"/>
            </w:tcBorders>
          </w:tcPr>
          <w:p>
            <w:pPr>
              <w:spacing w:after="0"/>
              <w:rPr>
                <w:sz w:val="24"/>
                <w:szCs w:val="24"/>
                <w:color w:val="auto"/>
              </w:rPr>
            </w:pPr>
          </w:p>
        </w:tc>
        <w:tc>
          <w:tcPr>
            <w:tcW w:w="2460" w:type="dxa"/>
            <w:vAlign w:val="bottom"/>
          </w:tcPr>
          <w:p>
            <w:pPr>
              <w:ind w:left="1020"/>
              <w:spacing w:after="0"/>
              <w:rPr>
                <w:sz w:val="20"/>
                <w:szCs w:val="20"/>
                <w:color w:val="auto"/>
              </w:rPr>
            </w:pPr>
            <w:r>
              <w:rPr>
                <w:rFonts w:ascii="Times New Roman" w:cs="Times New Roman" w:eastAsia="Times New Roman" w:hAnsi="Times New Roman"/>
                <w:sz w:val="17"/>
                <w:szCs w:val="17"/>
                <w:color w:val="1D4E8F"/>
              </w:rPr>
              <w:t>By internet</w:t>
            </w:r>
          </w:p>
        </w:tc>
        <w:tc>
          <w:tcPr>
            <w:tcW w:w="3640" w:type="dxa"/>
            <w:vAlign w:val="bottom"/>
          </w:tcPr>
          <w:p>
            <w:pPr>
              <w:ind w:left="280"/>
              <w:spacing w:after="0"/>
              <w:rPr>
                <w:sz w:val="20"/>
                <w:szCs w:val="20"/>
                <w:color w:val="auto"/>
              </w:rPr>
            </w:pPr>
            <w:r>
              <w:rPr>
                <w:rFonts w:ascii="Times New Roman" w:cs="Times New Roman" w:eastAsia="Times New Roman" w:hAnsi="Times New Roman"/>
                <w:sz w:val="17"/>
                <w:szCs w:val="17"/>
                <w:color w:val="1D4E8F"/>
              </w:rPr>
              <w:t>www.envisionreports.com/STHO</w:t>
            </w:r>
          </w:p>
        </w:tc>
        <w:tc>
          <w:tcPr>
            <w:tcW w:w="3700" w:type="dxa"/>
            <w:vAlign w:val="bottom"/>
            <w:tcBorders>
              <w:right w:val="single" w:sz="8" w:color="999999"/>
            </w:tcBorders>
          </w:tcPr>
          <w:p>
            <w:pPr>
              <w:ind w:left="180"/>
              <w:spacing w:after="0"/>
              <w:rPr>
                <w:sz w:val="20"/>
                <w:szCs w:val="20"/>
                <w:color w:val="auto"/>
              </w:rPr>
            </w:pPr>
            <w:r>
              <w:rPr>
                <w:rFonts w:ascii="Times New Roman" w:cs="Times New Roman" w:eastAsia="Times New Roman" w:hAnsi="Times New Roman"/>
                <w:sz w:val="17"/>
                <w:szCs w:val="17"/>
                <w:color w:val="1D4E8F"/>
              </w:rPr>
              <w:t>www.proxyvote.com</w:t>
            </w:r>
          </w:p>
        </w:tc>
        <w:tc>
          <w:tcPr>
            <w:tcW w:w="0" w:type="dxa"/>
            <w:vAlign w:val="bottom"/>
          </w:tcPr>
          <w:p>
            <w:pPr>
              <w:spacing w:after="0"/>
              <w:rPr>
                <w:sz w:val="1"/>
                <w:szCs w:val="1"/>
                <w:color w:val="auto"/>
              </w:rPr>
            </w:pPr>
          </w:p>
        </w:tc>
      </w:tr>
      <w:tr>
        <w:trPr>
          <w:trHeight w:val="248"/>
        </w:trPr>
        <w:tc>
          <w:tcPr>
            <w:tcW w:w="120" w:type="dxa"/>
            <w:vAlign w:val="bottom"/>
            <w:tcBorders>
              <w:left w:val="single" w:sz="8" w:color="999999"/>
            </w:tcBorders>
          </w:tcPr>
          <w:p>
            <w:pPr>
              <w:spacing w:after="0"/>
              <w:rPr>
                <w:sz w:val="21"/>
                <w:szCs w:val="21"/>
                <w:color w:val="auto"/>
              </w:rPr>
            </w:pPr>
          </w:p>
        </w:tc>
        <w:tc>
          <w:tcPr>
            <w:tcW w:w="2460" w:type="dxa"/>
            <w:vAlign w:val="bottom"/>
            <w:tcBorders>
              <w:bottom w:val="single" w:sz="8" w:color="999999"/>
            </w:tcBorders>
          </w:tcPr>
          <w:p>
            <w:pPr>
              <w:spacing w:after="0"/>
              <w:rPr>
                <w:sz w:val="21"/>
                <w:szCs w:val="21"/>
                <w:color w:val="auto"/>
              </w:rPr>
            </w:pPr>
          </w:p>
        </w:tc>
        <w:tc>
          <w:tcPr>
            <w:tcW w:w="3640" w:type="dxa"/>
            <w:vAlign w:val="bottom"/>
            <w:tcBorders>
              <w:bottom w:val="single" w:sz="8" w:color="999999"/>
            </w:tcBorders>
          </w:tcPr>
          <w:p>
            <w:pPr>
              <w:spacing w:after="0"/>
              <w:rPr>
                <w:sz w:val="21"/>
                <w:szCs w:val="21"/>
                <w:color w:val="auto"/>
              </w:rPr>
            </w:pPr>
          </w:p>
        </w:tc>
        <w:tc>
          <w:tcPr>
            <w:tcW w:w="3700" w:type="dxa"/>
            <w:vAlign w:val="bottom"/>
            <w:tcBorders>
              <w:bottom w:val="single" w:sz="8" w:color="999999"/>
              <w:right w:val="single" w:sz="8" w:color="999999"/>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120" w:type="dxa"/>
            <w:vAlign w:val="bottom"/>
            <w:tcBorders>
              <w:left w:val="single" w:sz="8" w:color="999999"/>
            </w:tcBorders>
          </w:tcPr>
          <w:p>
            <w:pPr>
              <w:spacing w:after="0"/>
              <w:rPr>
                <w:sz w:val="24"/>
                <w:szCs w:val="24"/>
                <w:color w:val="auto"/>
              </w:rPr>
            </w:pPr>
          </w:p>
        </w:tc>
        <w:tc>
          <w:tcPr>
            <w:tcW w:w="246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1D4E8F"/>
              </w:rPr>
              <w:t>By phone</w:t>
            </w:r>
          </w:p>
        </w:tc>
        <w:tc>
          <w:tcPr>
            <w:tcW w:w="3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 the U.S. or Canada dial</w:t>
            </w:r>
          </w:p>
        </w:tc>
        <w:tc>
          <w:tcPr>
            <w:tcW w:w="3700" w:type="dxa"/>
            <w:vAlign w:val="bottom"/>
            <w:tcBorders>
              <w:right w:val="single" w:sz="8" w:color="999999"/>
            </w:tcBorders>
          </w:tcPr>
          <w:p>
            <w:pPr>
              <w:ind w:left="180"/>
              <w:spacing w:after="0"/>
              <w:rPr>
                <w:sz w:val="20"/>
                <w:szCs w:val="20"/>
                <w:color w:val="auto"/>
              </w:rPr>
            </w:pPr>
            <w:r>
              <w:rPr>
                <w:rFonts w:ascii="Times New Roman" w:cs="Times New Roman" w:eastAsia="Times New Roman" w:hAnsi="Times New Roman"/>
                <w:sz w:val="17"/>
                <w:szCs w:val="17"/>
                <w:color w:val="auto"/>
              </w:rPr>
              <w:t>In the U.S. or Canada dial</w:t>
            </w:r>
          </w:p>
        </w:tc>
        <w:tc>
          <w:tcPr>
            <w:tcW w:w="0" w:type="dxa"/>
            <w:vAlign w:val="bottom"/>
          </w:tcPr>
          <w:p>
            <w:pPr>
              <w:spacing w:after="0"/>
              <w:rPr>
                <w:sz w:val="1"/>
                <w:szCs w:val="1"/>
                <w:color w:val="auto"/>
              </w:rPr>
            </w:pPr>
          </w:p>
        </w:tc>
      </w:tr>
      <w:tr>
        <w:trPr>
          <w:trHeight w:val="116"/>
        </w:trPr>
        <w:tc>
          <w:tcPr>
            <w:tcW w:w="120" w:type="dxa"/>
            <w:vAlign w:val="bottom"/>
            <w:tcBorders>
              <w:left w:val="single" w:sz="8" w:color="999999"/>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3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toll-free, 24/7 1-800-652-8683</w:t>
            </w:r>
          </w:p>
        </w:tc>
        <w:tc>
          <w:tcPr>
            <w:tcW w:w="3700" w:type="dxa"/>
            <w:vAlign w:val="bottom"/>
            <w:tcBorders>
              <w:right w:val="single" w:sz="8" w:color="999999"/>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toll-free, 24/7 1-800-690-6903</w:t>
            </w:r>
          </w:p>
        </w:tc>
        <w:tc>
          <w:tcPr>
            <w:tcW w:w="0" w:type="dxa"/>
            <w:vAlign w:val="bottom"/>
          </w:tcPr>
          <w:p>
            <w:pPr>
              <w:spacing w:after="0"/>
              <w:rPr>
                <w:sz w:val="1"/>
                <w:szCs w:val="1"/>
                <w:color w:val="auto"/>
              </w:rPr>
            </w:pPr>
          </w:p>
        </w:tc>
      </w:tr>
      <w:tr>
        <w:trPr>
          <w:trHeight w:val="99"/>
        </w:trPr>
        <w:tc>
          <w:tcPr>
            <w:tcW w:w="120" w:type="dxa"/>
            <w:vAlign w:val="bottom"/>
            <w:tcBorders>
              <w:left w:val="single" w:sz="8" w:color="999999"/>
            </w:tcBorders>
          </w:tcPr>
          <w:p>
            <w:pPr>
              <w:spacing w:after="0"/>
              <w:rPr>
                <w:sz w:val="8"/>
                <w:szCs w:val="8"/>
                <w:color w:val="auto"/>
              </w:rPr>
            </w:pPr>
          </w:p>
        </w:tc>
        <w:tc>
          <w:tcPr>
            <w:tcW w:w="246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3700" w:type="dxa"/>
            <w:vAlign w:val="bottom"/>
            <w:tcBorders>
              <w:right w:val="single" w:sz="8" w:color="999999"/>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120" w:type="dxa"/>
            <w:vAlign w:val="bottom"/>
            <w:tcBorders>
              <w:left w:val="single" w:sz="8" w:color="999999"/>
            </w:tcBorders>
          </w:tcPr>
          <w:p>
            <w:pPr>
              <w:spacing w:after="0"/>
              <w:rPr>
                <w:sz w:val="24"/>
                <w:szCs w:val="24"/>
                <w:color w:val="auto"/>
              </w:rPr>
            </w:pPr>
          </w:p>
        </w:tc>
        <w:tc>
          <w:tcPr>
            <w:tcW w:w="2460" w:type="dxa"/>
            <w:vAlign w:val="bottom"/>
            <w:tcBorders>
              <w:bottom w:val="single" w:sz="8" w:color="999999"/>
            </w:tcBorders>
          </w:tcPr>
          <w:p>
            <w:pPr>
              <w:spacing w:after="0"/>
              <w:rPr>
                <w:sz w:val="24"/>
                <w:szCs w:val="24"/>
                <w:color w:val="auto"/>
              </w:rPr>
            </w:pPr>
          </w:p>
        </w:tc>
        <w:tc>
          <w:tcPr>
            <w:tcW w:w="3640" w:type="dxa"/>
            <w:vAlign w:val="bottom"/>
            <w:tcBorders>
              <w:bottom w:val="single" w:sz="8" w:color="999999"/>
            </w:tcBorders>
          </w:tcPr>
          <w:p>
            <w:pPr>
              <w:spacing w:after="0"/>
              <w:rPr>
                <w:sz w:val="24"/>
                <w:szCs w:val="24"/>
                <w:color w:val="auto"/>
              </w:rPr>
            </w:pPr>
          </w:p>
        </w:tc>
        <w:tc>
          <w:tcPr>
            <w:tcW w:w="3700" w:type="dxa"/>
            <w:vAlign w:val="bottom"/>
            <w:tcBorders>
              <w:bottom w:val="single" w:sz="8" w:color="999999"/>
              <w:right w:val="single" w:sz="8" w:color="999999"/>
            </w:tcBorders>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20" w:type="dxa"/>
            <w:vAlign w:val="bottom"/>
            <w:tcBorders>
              <w:left w:val="single" w:sz="8" w:color="999999"/>
            </w:tcBorders>
          </w:tcPr>
          <w:p>
            <w:pPr>
              <w:spacing w:after="0"/>
              <w:rPr>
                <w:sz w:val="24"/>
                <w:szCs w:val="24"/>
                <w:color w:val="auto"/>
              </w:rPr>
            </w:pPr>
          </w:p>
        </w:tc>
        <w:tc>
          <w:tcPr>
            <w:tcW w:w="2460" w:type="dxa"/>
            <w:vAlign w:val="bottom"/>
          </w:tcPr>
          <w:p>
            <w:pPr>
              <w:ind w:left="1020"/>
              <w:spacing w:after="0"/>
              <w:rPr>
                <w:sz w:val="20"/>
                <w:szCs w:val="20"/>
                <w:color w:val="auto"/>
              </w:rPr>
            </w:pPr>
            <w:r>
              <w:rPr>
                <w:rFonts w:ascii="Times New Roman" w:cs="Times New Roman" w:eastAsia="Times New Roman" w:hAnsi="Times New Roman"/>
                <w:sz w:val="17"/>
                <w:szCs w:val="17"/>
                <w:color w:val="1D4E8F"/>
              </w:rPr>
              <w:t>By mobile device</w:t>
            </w:r>
          </w:p>
        </w:tc>
        <w:tc>
          <w:tcPr>
            <w:tcW w:w="3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Scan the QR code</w:t>
            </w:r>
          </w:p>
        </w:tc>
        <w:tc>
          <w:tcPr>
            <w:tcW w:w="3700" w:type="dxa"/>
            <w:vAlign w:val="bottom"/>
            <w:tcBorders>
              <w:right w:val="single" w:sz="8" w:color="999999"/>
            </w:tcBorders>
          </w:tcPr>
          <w:p>
            <w:pPr>
              <w:ind w:left="180"/>
              <w:spacing w:after="0"/>
              <w:rPr>
                <w:sz w:val="20"/>
                <w:szCs w:val="20"/>
                <w:color w:val="auto"/>
              </w:rPr>
            </w:pPr>
            <w:r>
              <w:rPr>
                <w:rFonts w:ascii="Times New Roman" w:cs="Times New Roman" w:eastAsia="Times New Roman" w:hAnsi="Times New Roman"/>
                <w:sz w:val="17"/>
                <w:szCs w:val="17"/>
                <w:color w:val="auto"/>
              </w:rPr>
              <w:t>Scan the QR code</w:t>
            </w:r>
          </w:p>
        </w:tc>
        <w:tc>
          <w:tcPr>
            <w:tcW w:w="0" w:type="dxa"/>
            <w:vAlign w:val="bottom"/>
          </w:tcPr>
          <w:p>
            <w:pPr>
              <w:spacing w:after="0"/>
              <w:rPr>
                <w:sz w:val="1"/>
                <w:szCs w:val="1"/>
                <w:color w:val="auto"/>
              </w:rPr>
            </w:pPr>
          </w:p>
        </w:tc>
      </w:tr>
      <w:tr>
        <w:trPr>
          <w:trHeight w:val="385"/>
        </w:trPr>
        <w:tc>
          <w:tcPr>
            <w:tcW w:w="120" w:type="dxa"/>
            <w:vAlign w:val="bottom"/>
            <w:tcBorders>
              <w:left w:val="single" w:sz="8" w:color="999999"/>
            </w:tcBorders>
          </w:tcPr>
          <w:p>
            <w:pPr>
              <w:spacing w:after="0"/>
              <w:rPr>
                <w:sz w:val="24"/>
                <w:szCs w:val="24"/>
                <w:color w:val="auto"/>
              </w:rPr>
            </w:pPr>
          </w:p>
        </w:tc>
        <w:tc>
          <w:tcPr>
            <w:tcW w:w="2460" w:type="dxa"/>
            <w:vAlign w:val="bottom"/>
            <w:tcBorders>
              <w:bottom w:val="single" w:sz="8" w:color="999999"/>
            </w:tcBorders>
          </w:tcPr>
          <w:p>
            <w:pPr>
              <w:spacing w:after="0"/>
              <w:rPr>
                <w:sz w:val="24"/>
                <w:szCs w:val="24"/>
                <w:color w:val="auto"/>
              </w:rPr>
            </w:pPr>
          </w:p>
        </w:tc>
        <w:tc>
          <w:tcPr>
            <w:tcW w:w="3640" w:type="dxa"/>
            <w:vAlign w:val="bottom"/>
            <w:tcBorders>
              <w:bottom w:val="single" w:sz="8" w:color="999999"/>
            </w:tcBorders>
          </w:tcPr>
          <w:p>
            <w:pPr>
              <w:spacing w:after="0"/>
              <w:rPr>
                <w:sz w:val="24"/>
                <w:szCs w:val="24"/>
                <w:color w:val="auto"/>
              </w:rPr>
            </w:pPr>
          </w:p>
        </w:tc>
        <w:tc>
          <w:tcPr>
            <w:tcW w:w="3700" w:type="dxa"/>
            <w:vAlign w:val="bottom"/>
            <w:tcBorders>
              <w:bottom w:val="single" w:sz="8" w:color="999999"/>
              <w:right w:val="single" w:sz="8" w:color="999999"/>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20" w:type="dxa"/>
            <w:vAlign w:val="bottom"/>
            <w:tcBorders>
              <w:left w:val="single" w:sz="8" w:color="999999"/>
            </w:tcBorders>
          </w:tcPr>
          <w:p>
            <w:pPr>
              <w:spacing w:after="0"/>
              <w:rPr>
                <w:sz w:val="24"/>
                <w:szCs w:val="24"/>
                <w:color w:val="auto"/>
              </w:rPr>
            </w:pPr>
          </w:p>
        </w:tc>
        <w:tc>
          <w:tcPr>
            <w:tcW w:w="246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1D4E8F"/>
              </w:rPr>
              <w:t>By mail</w:t>
            </w:r>
          </w:p>
        </w:tc>
        <w:tc>
          <w:tcPr>
            <w:tcW w:w="36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Complete, sign, date and return your proxy card</w:t>
            </w:r>
          </w:p>
        </w:tc>
        <w:tc>
          <w:tcPr>
            <w:tcW w:w="3700" w:type="dxa"/>
            <w:vAlign w:val="bottom"/>
            <w:tcBorders>
              <w:right w:val="single" w:sz="8" w:color="999999"/>
            </w:tcBorders>
          </w:tcPr>
          <w:p>
            <w:pPr>
              <w:ind w:left="180"/>
              <w:spacing w:after="0"/>
              <w:rPr>
                <w:sz w:val="20"/>
                <w:szCs w:val="20"/>
                <w:color w:val="auto"/>
              </w:rPr>
            </w:pPr>
            <w:r>
              <w:rPr>
                <w:rFonts w:ascii="Times New Roman" w:cs="Times New Roman" w:eastAsia="Times New Roman" w:hAnsi="Times New Roman"/>
                <w:sz w:val="17"/>
                <w:szCs w:val="17"/>
                <w:color w:val="auto"/>
              </w:rPr>
              <w:t>Complete, sign, date and return your voting</w:t>
            </w:r>
          </w:p>
        </w:tc>
        <w:tc>
          <w:tcPr>
            <w:tcW w:w="0" w:type="dxa"/>
            <w:vAlign w:val="bottom"/>
          </w:tcPr>
          <w:p>
            <w:pPr>
              <w:spacing w:after="0"/>
              <w:rPr>
                <w:sz w:val="1"/>
                <w:szCs w:val="1"/>
                <w:color w:val="auto"/>
              </w:rPr>
            </w:pPr>
          </w:p>
        </w:tc>
      </w:tr>
      <w:tr>
        <w:trPr>
          <w:trHeight w:val="116"/>
        </w:trPr>
        <w:tc>
          <w:tcPr>
            <w:tcW w:w="120" w:type="dxa"/>
            <w:vAlign w:val="bottom"/>
            <w:tcBorders>
              <w:left w:val="single" w:sz="8" w:color="999999"/>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3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auto"/>
              </w:rPr>
              <w:t>in our prepaid envelope</w:t>
            </w:r>
          </w:p>
        </w:tc>
        <w:tc>
          <w:tcPr>
            <w:tcW w:w="3700" w:type="dxa"/>
            <w:vAlign w:val="bottom"/>
            <w:tcBorders>
              <w:right w:val="single" w:sz="8" w:color="999999"/>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instruction form in our prepaid envelope</w:t>
            </w:r>
          </w:p>
        </w:tc>
        <w:tc>
          <w:tcPr>
            <w:tcW w:w="0" w:type="dxa"/>
            <w:vAlign w:val="bottom"/>
          </w:tcPr>
          <w:p>
            <w:pPr>
              <w:spacing w:after="0"/>
              <w:rPr>
                <w:sz w:val="1"/>
                <w:szCs w:val="1"/>
                <w:color w:val="auto"/>
              </w:rPr>
            </w:pPr>
          </w:p>
        </w:tc>
      </w:tr>
      <w:tr>
        <w:trPr>
          <w:trHeight w:val="99"/>
        </w:trPr>
        <w:tc>
          <w:tcPr>
            <w:tcW w:w="120" w:type="dxa"/>
            <w:vAlign w:val="bottom"/>
            <w:tcBorders>
              <w:left w:val="single" w:sz="8" w:color="999999"/>
            </w:tcBorders>
          </w:tcPr>
          <w:p>
            <w:pPr>
              <w:spacing w:after="0"/>
              <w:rPr>
                <w:sz w:val="8"/>
                <w:szCs w:val="8"/>
                <w:color w:val="auto"/>
              </w:rPr>
            </w:pPr>
          </w:p>
        </w:tc>
        <w:tc>
          <w:tcPr>
            <w:tcW w:w="246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3700" w:type="dxa"/>
            <w:vAlign w:val="bottom"/>
            <w:tcBorders>
              <w:right w:val="single" w:sz="8" w:color="999999"/>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999999"/>
              <w:bottom w:val="single" w:sz="8" w:color="999999"/>
            </w:tcBorders>
          </w:tcPr>
          <w:p>
            <w:pPr>
              <w:spacing w:after="0"/>
              <w:rPr>
                <w:sz w:val="20"/>
                <w:szCs w:val="20"/>
                <w:color w:val="auto"/>
              </w:rPr>
            </w:pPr>
          </w:p>
        </w:tc>
        <w:tc>
          <w:tcPr>
            <w:tcW w:w="2460" w:type="dxa"/>
            <w:vAlign w:val="bottom"/>
            <w:tcBorders>
              <w:bottom w:val="single" w:sz="8" w:color="1D4E8F"/>
            </w:tcBorders>
          </w:tcPr>
          <w:p>
            <w:pPr>
              <w:spacing w:after="0"/>
              <w:rPr>
                <w:sz w:val="20"/>
                <w:szCs w:val="20"/>
                <w:color w:val="auto"/>
              </w:rPr>
            </w:pPr>
          </w:p>
        </w:tc>
        <w:tc>
          <w:tcPr>
            <w:tcW w:w="3640" w:type="dxa"/>
            <w:vAlign w:val="bottom"/>
            <w:tcBorders>
              <w:bottom w:val="single" w:sz="8" w:color="1D4E8F"/>
            </w:tcBorders>
          </w:tcPr>
          <w:p>
            <w:pPr>
              <w:spacing w:after="0"/>
              <w:rPr>
                <w:sz w:val="20"/>
                <w:szCs w:val="20"/>
                <w:color w:val="auto"/>
              </w:rPr>
            </w:pPr>
          </w:p>
        </w:tc>
        <w:tc>
          <w:tcPr>
            <w:tcW w:w="3700" w:type="dxa"/>
            <w:vAlign w:val="bottom"/>
            <w:tcBorders>
              <w:bottom w:val="single" w:sz="8" w:color="1D4E8F"/>
              <w:right w:val="single" w:sz="8" w:color="999999"/>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0" w:type="dxa"/>
            <w:vAlign w:val="bottom"/>
            <w:tcBorders>
              <w:bottom w:val="single" w:sz="8" w:color="1D4E8F"/>
            </w:tcBorders>
          </w:tcPr>
          <w:p>
            <w:pPr>
              <w:spacing w:after="0"/>
              <w:rPr>
                <w:sz w:val="16"/>
                <w:szCs w:val="16"/>
                <w:color w:val="auto"/>
              </w:rPr>
            </w:pPr>
          </w:p>
        </w:tc>
        <w:tc>
          <w:tcPr>
            <w:tcW w:w="2460" w:type="dxa"/>
            <w:vAlign w:val="bottom"/>
            <w:tcBorders>
              <w:bottom w:val="single" w:sz="8" w:color="1D4E8F"/>
            </w:tcBorders>
          </w:tcPr>
          <w:p>
            <w:pPr>
              <w:spacing w:after="0"/>
              <w:rPr>
                <w:sz w:val="16"/>
                <w:szCs w:val="16"/>
                <w:color w:val="auto"/>
              </w:rPr>
            </w:pPr>
          </w:p>
        </w:tc>
        <w:tc>
          <w:tcPr>
            <w:tcW w:w="3640" w:type="dxa"/>
            <w:vAlign w:val="bottom"/>
            <w:tcBorders>
              <w:bottom w:val="single" w:sz="8" w:color="1D4E8F"/>
            </w:tcBorders>
          </w:tcPr>
          <w:p>
            <w:pPr>
              <w:spacing w:after="0"/>
              <w:rPr>
                <w:sz w:val="16"/>
                <w:szCs w:val="16"/>
                <w:color w:val="auto"/>
              </w:rPr>
            </w:pPr>
          </w:p>
        </w:tc>
        <w:tc>
          <w:tcPr>
            <w:tcW w:w="3700" w:type="dxa"/>
            <w:vAlign w:val="bottom"/>
            <w:tcBorders>
              <w:bottom w:val="single" w:sz="8" w:color="1D4E8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-1783080</wp:posOffset>
            </wp:positionV>
            <wp:extent cx="197485" cy="331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485" cy="33147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-583565</wp:posOffset>
            </wp:positionV>
            <wp:extent cx="386715" cy="244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6715" cy="24447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-2193925</wp:posOffset>
            </wp:positionV>
            <wp:extent cx="450215" cy="283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0215" cy="2838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-1167765</wp:posOffset>
            </wp:positionV>
            <wp:extent cx="299720" cy="299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ind w:right="40"/>
        <w:spacing w:after="0" w:line="250" w:lineRule="auto"/>
        <w:rPr>
          <w:sz w:val="20"/>
          <w:szCs w:val="20"/>
          <w:color w:val="auto"/>
        </w:rPr>
      </w:pPr>
      <w:r>
        <w:rPr>
          <w:rFonts w:ascii="Times New Roman" w:cs="Times New Roman" w:eastAsia="Times New Roman" w:hAnsi="Times New Roman"/>
          <w:sz w:val="20"/>
          <w:szCs w:val="20"/>
          <w:color w:val="auto"/>
        </w:rPr>
        <w:t>IMPORTANT NOTICE REGARDING THE AVAILABILITY OF PROXY MATERIALS FOR THE ANNUAL MEETING OF SHAREHOLDERS TO BE HELD ON May 21, 2026</w:t>
      </w:r>
    </w:p>
    <w:p>
      <w:pPr>
        <w:spacing w:after="0" w:line="37"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We make proxy materials available to our shareholders online. You can access proxy materials including our 2026 annual report to shareholders beginning on April 7, 2026 at </w:t>
      </w:r>
      <w:r>
        <w:rPr>
          <w:rFonts w:ascii="Times New Roman" w:cs="Times New Roman" w:eastAsia="Times New Roman" w:hAnsi="Times New Roman"/>
          <w:sz w:val="17"/>
          <w:szCs w:val="17"/>
          <w:i w:val="1"/>
          <w:iCs w:val="1"/>
          <w:color w:val="1D4E8F"/>
        </w:rPr>
        <w:t>http://www.envisionreports.com/STHO</w:t>
      </w:r>
      <w:r>
        <w:rPr>
          <w:rFonts w:ascii="Times New Roman" w:cs="Times New Roman" w:eastAsia="Times New Roman" w:hAnsi="Times New Roman"/>
          <w:sz w:val="17"/>
          <w:szCs w:val="17"/>
          <w:i w:val="1"/>
          <w:iCs w:val="1"/>
          <w:color w:val="auto"/>
        </w:rPr>
        <w:t>.</w:t>
      </w:r>
    </w:p>
    <w:p>
      <w:pPr>
        <w:spacing w:after="0" w:line="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i w:val="1"/>
          <w:iCs w:val="1"/>
          <w:color w:val="auto"/>
        </w:rPr>
        <w:t>You also may request a paper or an e-mail copy of our proxy materials and a paper proxy card by following the instructions included in the Notice of Internet Availability of Proxy Materials, which we will send on or about April 7,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Even if you expect to participate in the annual meeting, please vote your proxy in advance to ensure that your shares will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795020</wp:posOffset>
            </wp:positionV>
            <wp:extent cx="630682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62985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63068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6820" cy="7620"/>
                    </a:xfrm>
                    <a:prstGeom prst="rect">
                      <a:avLst/>
                    </a:prstGeom>
                    <a:noFill/>
                  </pic:spPr>
                </pic:pic>
              </a:graphicData>
            </a:graphic>
          </wp:anchor>
        </w:drawing>
      </w:r>
    </w:p>
    <w:p>
      <w:pPr>
        <w:spacing w:after="0" w:line="275" w:lineRule="exact"/>
        <w:rPr>
          <w:sz w:val="20"/>
          <w:szCs w:val="20"/>
          <w:color w:val="auto"/>
        </w:rPr>
      </w:pPr>
    </w:p>
    <w:p>
      <w:pPr>
        <w:spacing w:after="0"/>
        <w:tabs>
          <w:tab w:leader="none" w:pos="4400" w:val="left"/>
          <w:tab w:leader="none" w:pos="5280" w:val="left"/>
          <w:tab w:leader="none" w:pos="9700" w:val="left"/>
        </w:tabs>
        <w:rPr>
          <w:sz w:val="20"/>
          <w:szCs w:val="20"/>
          <w:color w:val="auto"/>
        </w:rPr>
      </w:pPr>
      <w:r>
        <w:rPr>
          <w:rFonts w:ascii="Times New Roman" w:cs="Times New Roman" w:eastAsia="Times New Roman" w:hAnsi="Times New Roman"/>
          <w:sz w:val="20"/>
          <w:szCs w:val="20"/>
          <w:u w:val="single" w:color="auto"/>
          <w:color w:val="1D4E8F"/>
        </w:rPr>
        <w:t>Proposal 1</w:t>
      </w:r>
      <w:r>
        <w:rPr>
          <w:rFonts w:ascii="Arial" w:cs="Arial" w:eastAsia="Arial" w:hAnsi="Arial"/>
          <w:sz w:val="20"/>
          <w:szCs w:val="20"/>
          <w:u w:val="single" w:color="auto"/>
          <w:color w:val="1D4E8F"/>
        </w:rPr>
        <w:t xml:space="preserve"> </w:t>
      </w:r>
      <w:r>
        <w:rPr>
          <w:rFonts w:ascii="Times New Roman" w:cs="Times New Roman" w:eastAsia="Times New Roman" w:hAnsi="Times New Roman"/>
          <w:sz w:val="20"/>
          <w:szCs w:val="20"/>
          <w:u w:val="single" w:color="auto"/>
          <w:color w:val="1D4E8F"/>
        </w:rPr>
        <w:t>—</w:t>
      </w:r>
      <w:r>
        <w:rPr>
          <w:rFonts w:ascii="Arial" w:cs="Arial" w:eastAsia="Arial" w:hAnsi="Arial"/>
          <w:sz w:val="20"/>
          <w:szCs w:val="20"/>
          <w:u w:val="single" w:color="auto"/>
          <w:color w:val="1D4E8F"/>
        </w:rPr>
        <w:t xml:space="preserve"> </w:t>
      </w:r>
      <w:r>
        <w:rPr>
          <w:rFonts w:ascii="Times New Roman" w:cs="Times New Roman" w:eastAsia="Times New Roman" w:hAnsi="Times New Roman"/>
          <w:sz w:val="20"/>
          <w:szCs w:val="20"/>
          <w:u w:val="single" w:color="auto"/>
          <w:color w:val="1D4E8F"/>
        </w:rPr>
        <w:t>Election of Trustees</w:t>
      </w:r>
      <w:r>
        <w:rPr>
          <w:sz w:val="20"/>
          <w:szCs w:val="20"/>
          <w:color w:val="auto"/>
        </w:rPr>
        <w:tab/>
      </w:r>
      <w:r>
        <w:rPr>
          <w:rFonts w:ascii="Times New Roman" w:cs="Times New Roman" w:eastAsia="Times New Roman" w:hAnsi="Times New Roman"/>
          <w:sz w:val="20"/>
          <w:szCs w:val="20"/>
          <w:color w:val="auto"/>
        </w:rPr>
        <w:t>​ 1</w:t>
      </w:r>
      <w:r>
        <w:rPr>
          <w:sz w:val="20"/>
          <w:szCs w:val="20"/>
          <w:color w:val="auto"/>
        </w:rPr>
        <w:tab/>
      </w:r>
      <w:r>
        <w:rPr>
          <w:rFonts w:ascii="Times New Roman" w:cs="Times New Roman" w:eastAsia="Times New Roman" w:hAnsi="Times New Roman"/>
          <w:sz w:val="20"/>
          <w:szCs w:val="20"/>
          <w:u w:val="single" w:color="auto"/>
          <w:color w:val="0000EE"/>
        </w:rPr>
        <w:t>Board Committees</w:t>
      </w:r>
      <w:r>
        <w:rPr>
          <w:sz w:val="20"/>
          <w:szCs w:val="20"/>
          <w:color w:val="auto"/>
        </w:rPr>
        <w:tab/>
      </w:r>
      <w:r>
        <w:rPr>
          <w:rFonts w:ascii="Times New Roman" w:cs="Times New Roman" w:eastAsia="Times New Roman" w:hAnsi="Times New Roman"/>
          <w:sz w:val="20"/>
          <w:szCs w:val="20"/>
          <w:color w:val="auto"/>
        </w:rPr>
        <w:t>10</w:t>
      </w:r>
    </w:p>
    <w:p>
      <w:pPr>
        <w:sectPr>
          <w:pgSz w:w="11900" w:h="16838" w:orient="portrait"/>
          <w:cols w:equalWidth="0" w:num="1">
            <w:col w:w="9920"/>
          </w:cols>
          <w:pgMar w:left="980" w:top="359" w:right="999" w:bottom="1440" w:gutter="0" w:footer="0" w:header="0"/>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780" w:type="dxa"/>
            <w:vAlign w:val="bottom"/>
            <w:tcBorders>
              <w:top w:val="single" w:sz="8" w:color="1D4E8F"/>
            </w:tcBorders>
            <w:gridSpan w:val="3"/>
          </w:tcPr>
          <w:p>
            <w:pPr>
              <w:ind w:left="80"/>
              <w:spacing w:after="0" w:line="154"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0000EE"/>
              </w:rPr>
              <w:t>Candidates for Election as Trustee</w:t>
            </w:r>
          </w:p>
        </w:tc>
        <w:tc>
          <w:tcPr>
            <w:tcW w:w="1840" w:type="dxa"/>
            <w:vAlign w:val="bottom"/>
            <w:tcBorders>
              <w:top w:val="single" w:sz="8" w:color="1D4E8F"/>
            </w:tcBorders>
          </w:tcPr>
          <w:p>
            <w:pPr>
              <w:jc w:val="right"/>
              <w:spacing w:after="0" w:line="154" w:lineRule="exact"/>
              <w:rPr>
                <w:sz w:val="20"/>
                <w:szCs w:val="20"/>
                <w:color w:val="auto"/>
              </w:rPr>
            </w:pPr>
            <w:r>
              <w:rPr>
                <w:rFonts w:ascii="Times New Roman" w:cs="Times New Roman" w:eastAsia="Times New Roman" w:hAnsi="Times New Roman"/>
                <w:sz w:val="17"/>
                <w:szCs w:val="17"/>
                <w:color w:val="auto"/>
              </w:rPr>
              <w:t>1</w:t>
            </w:r>
          </w:p>
        </w:tc>
      </w:tr>
      <w:tr>
        <w:trPr>
          <w:trHeight w:val="20"/>
        </w:trPr>
        <w:tc>
          <w:tcPr>
            <w:tcW w:w="140" w:type="dxa"/>
            <w:vAlign w:val="bottom"/>
          </w:tcPr>
          <w:p>
            <w:pPr>
              <w:spacing w:after="0" w:line="20" w:lineRule="exact"/>
              <w:rPr>
                <w:sz w:val="1"/>
                <w:szCs w:val="1"/>
                <w:color w:val="auto"/>
              </w:rPr>
            </w:pPr>
          </w:p>
        </w:tc>
        <w:tc>
          <w:tcPr>
            <w:tcW w:w="2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bottom w:val="single" w:sz="8" w:color="999999"/>
            </w:tcBorders>
          </w:tcPr>
          <w:p>
            <w:pPr>
              <w:spacing w:after="0" w:line="20" w:lineRule="exact"/>
              <w:rPr>
                <w:sz w:val="1"/>
                <w:szCs w:val="1"/>
                <w:color w:val="auto"/>
              </w:rPr>
            </w:pPr>
          </w:p>
        </w:tc>
        <w:tc>
          <w:tcPr>
            <w:tcW w:w="1840" w:type="dxa"/>
            <w:vAlign w:val="bottom"/>
            <w:tcBorders>
              <w:bottom w:val="single" w:sz="8" w:color="999999"/>
            </w:tcBorders>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2640" w:type="dxa"/>
            <w:vAlign w:val="bottom"/>
            <w:tcBorders>
              <w:bottom w:val="single" w:sz="8" w:color="0000EE"/>
            </w:tcBorders>
            <w:gridSpan w:val="2"/>
          </w:tcPr>
          <w:p>
            <w:pPr>
              <w:spacing w:after="0" w:line="151" w:lineRule="exact"/>
              <w:rPr>
                <w:sz w:val="20"/>
                <w:szCs w:val="20"/>
                <w:color w:val="auto"/>
              </w:rPr>
            </w:pPr>
            <w:r>
              <w:rPr>
                <w:rFonts w:ascii="Times New Roman" w:cs="Times New Roman" w:eastAsia="Times New Roman" w:hAnsi="Times New Roman"/>
                <w:sz w:val="17"/>
                <w:szCs w:val="17"/>
                <w:color w:val="0000EE"/>
                <w:w w:val="96"/>
              </w:rPr>
              <w:t>Trustee Nominations and Qualifications</w:t>
            </w: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7"/>
                <w:szCs w:val="17"/>
                <w:color w:val="auto"/>
              </w:rPr>
              <w:t>2</w:t>
            </w:r>
          </w:p>
        </w:tc>
      </w:tr>
      <w:tr>
        <w:trPr>
          <w:trHeight w:val="20"/>
        </w:trPr>
        <w:tc>
          <w:tcPr>
            <w:tcW w:w="140" w:type="dxa"/>
            <w:vAlign w:val="bottom"/>
          </w:tcPr>
          <w:p>
            <w:pPr>
              <w:spacing w:after="0" w:line="20" w:lineRule="exact"/>
              <w:rPr>
                <w:sz w:val="1"/>
                <w:szCs w:val="1"/>
                <w:color w:val="auto"/>
              </w:rPr>
            </w:pPr>
          </w:p>
        </w:tc>
        <w:tc>
          <w:tcPr>
            <w:tcW w:w="2280" w:type="dxa"/>
            <w:vAlign w:val="bottom"/>
            <w:tcBorders>
              <w:bottom w:val="single" w:sz="8" w:color="999999"/>
            </w:tcBorders>
          </w:tcPr>
          <w:p>
            <w:pPr>
              <w:spacing w:after="0" w:line="20" w:lineRule="exact"/>
              <w:rPr>
                <w:sz w:val="1"/>
                <w:szCs w:val="1"/>
                <w:color w:val="auto"/>
              </w:rPr>
            </w:pPr>
          </w:p>
        </w:tc>
        <w:tc>
          <w:tcPr>
            <w:tcW w:w="360" w:type="dxa"/>
            <w:vAlign w:val="bottom"/>
            <w:tcBorders>
              <w:bottom w:val="single" w:sz="8" w:color="999999"/>
            </w:tcBorders>
          </w:tcPr>
          <w:p>
            <w:pPr>
              <w:spacing w:after="0" w:line="20" w:lineRule="exact"/>
              <w:rPr>
                <w:sz w:val="1"/>
                <w:szCs w:val="1"/>
                <w:color w:val="auto"/>
              </w:rPr>
            </w:pPr>
          </w:p>
        </w:tc>
        <w:tc>
          <w:tcPr>
            <w:tcW w:w="1840" w:type="dxa"/>
            <w:vAlign w:val="bottom"/>
            <w:tcBorders>
              <w:bottom w:val="single" w:sz="8" w:color="999999"/>
            </w:tcBorders>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2640" w:type="dxa"/>
            <w:vAlign w:val="bottom"/>
            <w:gridSpan w:val="2"/>
          </w:tcPr>
          <w:p>
            <w:pPr>
              <w:spacing w:after="0" w:line="151" w:lineRule="exact"/>
              <w:rPr>
                <w:sz w:val="20"/>
                <w:szCs w:val="20"/>
                <w:color w:val="auto"/>
              </w:rPr>
            </w:pPr>
            <w:r>
              <w:rPr>
                <w:rFonts w:ascii="Times New Roman" w:cs="Times New Roman" w:eastAsia="Times New Roman" w:hAnsi="Times New Roman"/>
                <w:sz w:val="17"/>
                <w:szCs w:val="17"/>
                <w:color w:val="0000EE"/>
              </w:rPr>
              <w:t>Board Composition and Attributes</w:t>
            </w: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7"/>
                <w:szCs w:val="17"/>
                <w:color w:val="auto"/>
              </w:rPr>
              <w:t>4</w:t>
            </w:r>
          </w:p>
        </w:tc>
      </w:tr>
      <w:tr>
        <w:trPr>
          <w:trHeight w:val="20"/>
        </w:trPr>
        <w:tc>
          <w:tcPr>
            <w:tcW w:w="140" w:type="dxa"/>
            <w:vAlign w:val="bottom"/>
          </w:tcPr>
          <w:p>
            <w:pPr>
              <w:spacing w:after="0" w:line="20" w:lineRule="exact"/>
              <w:rPr>
                <w:sz w:val="1"/>
                <w:szCs w:val="1"/>
                <w:color w:val="auto"/>
              </w:rPr>
            </w:pPr>
          </w:p>
        </w:tc>
        <w:tc>
          <w:tcPr>
            <w:tcW w:w="2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bottom w:val="single" w:sz="8" w:color="999999"/>
            </w:tcBorders>
          </w:tcPr>
          <w:p>
            <w:pPr>
              <w:spacing w:after="0" w:line="20" w:lineRule="exact"/>
              <w:rPr>
                <w:sz w:val="1"/>
                <w:szCs w:val="1"/>
                <w:color w:val="auto"/>
              </w:rPr>
            </w:pPr>
          </w:p>
        </w:tc>
        <w:tc>
          <w:tcPr>
            <w:tcW w:w="1840" w:type="dxa"/>
            <w:vAlign w:val="bottom"/>
            <w:tcBorders>
              <w:bottom w:val="single" w:sz="8" w:color="999999"/>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40" w:type="dxa"/>
            <w:vAlign w:val="bottom"/>
            <w:tcBorders>
              <w:top w:val="single" w:sz="8" w:color="1D4E8F"/>
            </w:tcBorders>
          </w:tcPr>
          <w:p>
            <w:pPr>
              <w:spacing w:after="0"/>
              <w:rPr>
                <w:sz w:val="14"/>
                <w:szCs w:val="14"/>
                <w:color w:val="auto"/>
              </w:rPr>
            </w:pPr>
          </w:p>
        </w:tc>
        <w:tc>
          <w:tcPr>
            <w:tcW w:w="3380" w:type="dxa"/>
            <w:vAlign w:val="bottom"/>
            <w:tcBorders>
              <w:top w:val="single" w:sz="8" w:color="1D4E8F"/>
            </w:tcBorders>
            <w:gridSpan w:val="3"/>
          </w:tcPr>
          <w:p>
            <w:pPr>
              <w:spacing w:after="0" w:line="167" w:lineRule="exact"/>
              <w:rPr>
                <w:sz w:val="20"/>
                <w:szCs w:val="20"/>
                <w:color w:val="auto"/>
              </w:rPr>
            </w:pPr>
            <w:r>
              <w:rPr>
                <w:rFonts w:ascii="Times New Roman" w:cs="Times New Roman" w:eastAsia="Times New Roman" w:hAnsi="Times New Roman"/>
                <w:sz w:val="17"/>
                <w:szCs w:val="17"/>
                <w:color w:val="0000EE"/>
              </w:rPr>
              <w:t>Audit Committee</w:t>
            </w:r>
          </w:p>
        </w:tc>
        <w:tc>
          <w:tcPr>
            <w:tcW w:w="1100" w:type="dxa"/>
            <w:vAlign w:val="bottom"/>
            <w:tcBorders>
              <w:top w:val="single" w:sz="8" w:color="1D4E8F"/>
            </w:tcBorders>
          </w:tcPr>
          <w:p>
            <w:pPr>
              <w:jc w:val="right"/>
              <w:spacing w:after="0" w:line="167" w:lineRule="exact"/>
              <w:rPr>
                <w:sz w:val="20"/>
                <w:szCs w:val="20"/>
                <w:color w:val="auto"/>
              </w:rPr>
            </w:pPr>
            <w:r>
              <w:rPr>
                <w:rFonts w:ascii="Times New Roman" w:cs="Times New Roman" w:eastAsia="Times New Roman" w:hAnsi="Times New Roman"/>
                <w:sz w:val="17"/>
                <w:szCs w:val="17"/>
                <w:color w:val="auto"/>
              </w:rPr>
              <w:t>10</w:t>
            </w:r>
          </w:p>
        </w:tc>
      </w:tr>
      <w:tr>
        <w:trPr>
          <w:trHeight w:val="20"/>
        </w:trPr>
        <w:tc>
          <w:tcPr>
            <w:tcW w:w="140" w:type="dxa"/>
            <w:vAlign w:val="bottom"/>
          </w:tcPr>
          <w:p>
            <w:pPr>
              <w:spacing w:after="0" w:line="20" w:lineRule="exact"/>
              <w:rPr>
                <w:sz w:val="1"/>
                <w:szCs w:val="1"/>
                <w:color w:val="auto"/>
              </w:rPr>
            </w:pPr>
          </w:p>
        </w:tc>
        <w:tc>
          <w:tcPr>
            <w:tcW w:w="1140" w:type="dxa"/>
            <w:vAlign w:val="bottom"/>
            <w:tcBorders>
              <w:top w:val="single" w:sz="8" w:color="0000EE"/>
              <w:bottom w:val="single" w:sz="8" w:color="999999"/>
            </w:tcBorders>
          </w:tcPr>
          <w:p>
            <w:pPr>
              <w:spacing w:after="0" w:line="20" w:lineRule="exact"/>
              <w:rPr>
                <w:sz w:val="1"/>
                <w:szCs w:val="1"/>
                <w:color w:val="auto"/>
              </w:rPr>
            </w:pPr>
          </w:p>
        </w:tc>
        <w:tc>
          <w:tcPr>
            <w:tcW w:w="580" w:type="dxa"/>
            <w:vAlign w:val="bottom"/>
            <w:tcBorders>
              <w:bottom w:val="single" w:sz="8" w:color="999999"/>
            </w:tcBorders>
          </w:tcPr>
          <w:p>
            <w:pPr>
              <w:spacing w:after="0" w:line="20" w:lineRule="exact"/>
              <w:rPr>
                <w:sz w:val="1"/>
                <w:szCs w:val="1"/>
                <w:color w:val="auto"/>
              </w:rPr>
            </w:pPr>
          </w:p>
        </w:tc>
        <w:tc>
          <w:tcPr>
            <w:tcW w:w="1660" w:type="dxa"/>
            <w:vAlign w:val="bottom"/>
            <w:tcBorders>
              <w:bottom w:val="single" w:sz="8" w:color="999999"/>
            </w:tcBorders>
          </w:tcPr>
          <w:p>
            <w:pPr>
              <w:spacing w:after="0" w:line="20" w:lineRule="exact"/>
              <w:rPr>
                <w:sz w:val="1"/>
                <w:szCs w:val="1"/>
                <w:color w:val="auto"/>
              </w:rPr>
            </w:pPr>
          </w:p>
        </w:tc>
        <w:tc>
          <w:tcPr>
            <w:tcW w:w="1100" w:type="dxa"/>
            <w:vAlign w:val="bottom"/>
            <w:tcBorders>
              <w:bottom w:val="single" w:sz="8" w:color="999999"/>
            </w:tcBorders>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3380" w:type="dxa"/>
            <w:vAlign w:val="bottom"/>
            <w:gridSpan w:val="3"/>
          </w:tcPr>
          <w:p>
            <w:pPr>
              <w:spacing w:after="0" w:line="151" w:lineRule="exact"/>
              <w:rPr>
                <w:sz w:val="20"/>
                <w:szCs w:val="20"/>
                <w:color w:val="auto"/>
              </w:rPr>
            </w:pPr>
            <w:r>
              <w:rPr>
                <w:rFonts w:ascii="Times New Roman" w:cs="Times New Roman" w:eastAsia="Times New Roman" w:hAnsi="Times New Roman"/>
                <w:sz w:val="17"/>
                <w:szCs w:val="17"/>
                <w:color w:val="0000EE"/>
              </w:rPr>
              <w:t>Compensation Committee</w:t>
            </w:r>
          </w:p>
        </w:tc>
        <w:tc>
          <w:tcPr>
            <w:tcW w:w="1100" w:type="dxa"/>
            <w:vAlign w:val="bottom"/>
          </w:tcPr>
          <w:p>
            <w:pPr>
              <w:jc w:val="right"/>
              <w:spacing w:after="0" w:line="151" w:lineRule="exact"/>
              <w:rPr>
                <w:sz w:val="20"/>
                <w:szCs w:val="20"/>
                <w:color w:val="auto"/>
              </w:rPr>
            </w:pPr>
            <w:r>
              <w:rPr>
                <w:rFonts w:ascii="Times New Roman" w:cs="Times New Roman" w:eastAsia="Times New Roman" w:hAnsi="Times New Roman"/>
                <w:sz w:val="17"/>
                <w:szCs w:val="17"/>
                <w:color w:val="auto"/>
              </w:rPr>
              <w:t>11</w:t>
            </w:r>
          </w:p>
        </w:tc>
      </w:tr>
      <w:tr>
        <w:trPr>
          <w:trHeight w:val="20"/>
        </w:trPr>
        <w:tc>
          <w:tcPr>
            <w:tcW w:w="140" w:type="dxa"/>
            <w:vAlign w:val="bottom"/>
          </w:tcPr>
          <w:p>
            <w:pPr>
              <w:spacing w:after="0" w:line="20" w:lineRule="exact"/>
              <w:rPr>
                <w:sz w:val="1"/>
                <w:szCs w:val="1"/>
                <w:color w:val="auto"/>
              </w:rPr>
            </w:pPr>
          </w:p>
        </w:tc>
        <w:tc>
          <w:tcPr>
            <w:tcW w:w="1140" w:type="dxa"/>
            <w:vAlign w:val="bottom"/>
            <w:tcBorders>
              <w:top w:val="single" w:sz="8" w:color="0000EE"/>
              <w:bottom w:val="single" w:sz="8" w:color="999999"/>
            </w:tcBorders>
          </w:tcPr>
          <w:p>
            <w:pPr>
              <w:spacing w:after="0" w:line="20" w:lineRule="exact"/>
              <w:rPr>
                <w:sz w:val="1"/>
                <w:szCs w:val="1"/>
                <w:color w:val="auto"/>
              </w:rPr>
            </w:pPr>
          </w:p>
        </w:tc>
        <w:tc>
          <w:tcPr>
            <w:tcW w:w="580" w:type="dxa"/>
            <w:vAlign w:val="bottom"/>
            <w:tcBorders>
              <w:top w:val="single" w:sz="8" w:color="0000EE"/>
              <w:bottom w:val="single" w:sz="8" w:color="999999"/>
            </w:tcBorders>
          </w:tcPr>
          <w:p>
            <w:pPr>
              <w:spacing w:after="0" w:line="20" w:lineRule="exact"/>
              <w:rPr>
                <w:sz w:val="1"/>
                <w:szCs w:val="1"/>
                <w:color w:val="auto"/>
              </w:rPr>
            </w:pPr>
          </w:p>
        </w:tc>
        <w:tc>
          <w:tcPr>
            <w:tcW w:w="1660" w:type="dxa"/>
            <w:vAlign w:val="bottom"/>
            <w:tcBorders>
              <w:bottom w:val="single" w:sz="8" w:color="999999"/>
            </w:tcBorders>
          </w:tcPr>
          <w:p>
            <w:pPr>
              <w:spacing w:after="0" w:line="20" w:lineRule="exact"/>
              <w:rPr>
                <w:sz w:val="1"/>
                <w:szCs w:val="1"/>
                <w:color w:val="auto"/>
              </w:rPr>
            </w:pPr>
          </w:p>
        </w:tc>
        <w:tc>
          <w:tcPr>
            <w:tcW w:w="1100" w:type="dxa"/>
            <w:vAlign w:val="bottom"/>
            <w:tcBorders>
              <w:bottom w:val="single" w:sz="8" w:color="999999"/>
            </w:tcBorders>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3380" w:type="dxa"/>
            <w:vAlign w:val="bottom"/>
            <w:tcBorders>
              <w:bottom w:val="single" w:sz="8" w:color="0000EE"/>
            </w:tcBorders>
            <w:gridSpan w:val="3"/>
          </w:tcPr>
          <w:p>
            <w:pPr>
              <w:spacing w:after="0" w:line="151" w:lineRule="exact"/>
              <w:rPr>
                <w:sz w:val="20"/>
                <w:szCs w:val="20"/>
                <w:color w:val="auto"/>
              </w:rPr>
            </w:pPr>
            <w:r>
              <w:rPr>
                <w:rFonts w:ascii="Times New Roman" w:cs="Times New Roman" w:eastAsia="Times New Roman" w:hAnsi="Times New Roman"/>
                <w:sz w:val="17"/>
                <w:szCs w:val="17"/>
                <w:color w:val="0000EE"/>
                <w:w w:val="96"/>
              </w:rPr>
              <w:t>Nominating and Corporate Governance Committee</w:t>
            </w:r>
          </w:p>
        </w:tc>
        <w:tc>
          <w:tcPr>
            <w:tcW w:w="1100" w:type="dxa"/>
            <w:vAlign w:val="bottom"/>
          </w:tcPr>
          <w:p>
            <w:pPr>
              <w:jc w:val="right"/>
              <w:spacing w:after="0" w:line="151" w:lineRule="exact"/>
              <w:rPr>
                <w:sz w:val="20"/>
                <w:szCs w:val="20"/>
                <w:color w:val="auto"/>
              </w:rPr>
            </w:pPr>
            <w:r>
              <w:rPr>
                <w:rFonts w:ascii="Times New Roman" w:cs="Times New Roman" w:eastAsia="Times New Roman" w:hAnsi="Times New Roman"/>
                <w:sz w:val="17"/>
                <w:szCs w:val="17"/>
                <w:color w:val="auto"/>
              </w:rPr>
              <w:t>11</w:t>
            </w:r>
          </w:p>
        </w:tc>
      </w:tr>
      <w:tr>
        <w:trPr>
          <w:trHeight w:val="20"/>
        </w:trPr>
        <w:tc>
          <w:tcPr>
            <w:tcW w:w="140" w:type="dxa"/>
            <w:vAlign w:val="bottom"/>
          </w:tcPr>
          <w:p>
            <w:pPr>
              <w:spacing w:after="0" w:line="20" w:lineRule="exact"/>
              <w:rPr>
                <w:sz w:val="1"/>
                <w:szCs w:val="1"/>
                <w:color w:val="auto"/>
              </w:rPr>
            </w:pPr>
          </w:p>
        </w:tc>
        <w:tc>
          <w:tcPr>
            <w:tcW w:w="1140" w:type="dxa"/>
            <w:vAlign w:val="bottom"/>
            <w:tcBorders>
              <w:bottom w:val="single" w:sz="8" w:color="999999"/>
            </w:tcBorders>
          </w:tcPr>
          <w:p>
            <w:pPr>
              <w:spacing w:after="0" w:line="20" w:lineRule="exact"/>
              <w:rPr>
                <w:sz w:val="1"/>
                <w:szCs w:val="1"/>
                <w:color w:val="auto"/>
              </w:rPr>
            </w:pPr>
          </w:p>
        </w:tc>
        <w:tc>
          <w:tcPr>
            <w:tcW w:w="580" w:type="dxa"/>
            <w:vAlign w:val="bottom"/>
            <w:tcBorders>
              <w:bottom w:val="single" w:sz="8" w:color="999999"/>
            </w:tcBorders>
          </w:tcPr>
          <w:p>
            <w:pPr>
              <w:spacing w:after="0" w:line="20" w:lineRule="exact"/>
              <w:rPr>
                <w:sz w:val="1"/>
                <w:szCs w:val="1"/>
                <w:color w:val="auto"/>
              </w:rPr>
            </w:pPr>
          </w:p>
        </w:tc>
        <w:tc>
          <w:tcPr>
            <w:tcW w:w="1660" w:type="dxa"/>
            <w:vAlign w:val="bottom"/>
            <w:tcBorders>
              <w:bottom w:val="single" w:sz="8" w:color="999999"/>
            </w:tcBorders>
          </w:tcPr>
          <w:p>
            <w:pPr>
              <w:spacing w:after="0" w:line="20" w:lineRule="exact"/>
              <w:rPr>
                <w:sz w:val="1"/>
                <w:szCs w:val="1"/>
                <w:color w:val="auto"/>
              </w:rPr>
            </w:pPr>
          </w:p>
        </w:tc>
        <w:tc>
          <w:tcPr>
            <w:tcW w:w="1100" w:type="dxa"/>
            <w:vAlign w:val="bottom"/>
            <w:tcBorders>
              <w:bottom w:val="single" w:sz="8" w:color="999999"/>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4620" w:space="680"/>
            <w:col w:w="4620"/>
          </w:cols>
          <w:pgMar w:left="980" w:top="359" w:right="99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4320" w:type="dxa"/>
            <w:vAlign w:val="bottom"/>
            <w:gridSpan w:val="18"/>
          </w:tcPr>
          <w:p>
            <w:pPr>
              <w:spacing w:after="0" w:line="199" w:lineRule="exact"/>
              <w:rPr>
                <w:sz w:val="20"/>
                <w:szCs w:val="20"/>
                <w:color w:val="auto"/>
              </w:rPr>
            </w:pPr>
            <w:r>
              <w:rPr>
                <w:rFonts w:ascii="Times New Roman" w:cs="Times New Roman" w:eastAsia="Times New Roman" w:hAnsi="Times New Roman"/>
                <w:sz w:val="20"/>
                <w:szCs w:val="20"/>
                <w:color w:val="0000EE"/>
              </w:rPr>
              <w:t>Corporate Governance</w:t>
            </w:r>
          </w:p>
        </w:tc>
        <w:tc>
          <w:tcPr>
            <w:tcW w:w="3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640" w:type="dxa"/>
            <w:vAlign w:val="bottom"/>
            <w:tcBorders>
              <w:top w:val="single" w:sz="8" w:color="0000EE"/>
              <w:bottom w:val="single" w:sz="8" w:color="1D4E8F"/>
            </w:tcBorders>
          </w:tcPr>
          <w:p>
            <w:pPr>
              <w:spacing w:after="0"/>
              <w:rPr>
                <w:sz w:val="2"/>
                <w:szCs w:val="2"/>
                <w:color w:val="auto"/>
              </w:rPr>
            </w:pPr>
          </w:p>
        </w:tc>
        <w:tc>
          <w:tcPr>
            <w:tcW w:w="280" w:type="dxa"/>
            <w:vAlign w:val="bottom"/>
            <w:tcBorders>
              <w:top w:val="single" w:sz="8" w:color="0000EE"/>
              <w:bottom w:val="single" w:sz="8" w:color="1D4E8F"/>
            </w:tcBorders>
          </w:tcPr>
          <w:p>
            <w:pPr>
              <w:spacing w:after="0"/>
              <w:rPr>
                <w:sz w:val="2"/>
                <w:szCs w:val="2"/>
                <w:color w:val="auto"/>
              </w:rPr>
            </w:pPr>
          </w:p>
        </w:tc>
        <w:tc>
          <w:tcPr>
            <w:tcW w:w="360" w:type="dxa"/>
            <w:vAlign w:val="bottom"/>
            <w:tcBorders>
              <w:top w:val="single" w:sz="8" w:color="0000EE"/>
              <w:bottom w:val="single" w:sz="8" w:color="1D4E8F"/>
            </w:tcBorders>
          </w:tcPr>
          <w:p>
            <w:pPr>
              <w:spacing w:after="0"/>
              <w:rPr>
                <w:sz w:val="2"/>
                <w:szCs w:val="2"/>
                <w:color w:val="auto"/>
              </w:rPr>
            </w:pPr>
          </w:p>
        </w:tc>
        <w:tc>
          <w:tcPr>
            <w:tcW w:w="20" w:type="dxa"/>
            <w:vAlign w:val="bottom"/>
            <w:tcBorders>
              <w:top w:val="single" w:sz="8" w:color="0000EE"/>
              <w:bottom w:val="single" w:sz="8" w:color="1D4E8F"/>
            </w:tcBorders>
          </w:tcPr>
          <w:p>
            <w:pPr>
              <w:spacing w:after="0"/>
              <w:rPr>
                <w:sz w:val="2"/>
                <w:szCs w:val="2"/>
                <w:color w:val="auto"/>
              </w:rPr>
            </w:pPr>
          </w:p>
        </w:tc>
        <w:tc>
          <w:tcPr>
            <w:tcW w:w="14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0" w:type="dxa"/>
            <w:vAlign w:val="bottom"/>
            <w:tcBorders>
              <w:top w:val="single" w:sz="8" w:color="0000EE"/>
              <w:bottom w:val="single" w:sz="8" w:color="1D4E8F"/>
            </w:tcBorders>
          </w:tcPr>
          <w:p>
            <w:pPr>
              <w:spacing w:after="0"/>
              <w:rPr>
                <w:sz w:val="2"/>
                <w:szCs w:val="2"/>
                <w:color w:val="auto"/>
              </w:rPr>
            </w:pPr>
          </w:p>
        </w:tc>
        <w:tc>
          <w:tcPr>
            <w:tcW w:w="140" w:type="dxa"/>
            <w:vAlign w:val="bottom"/>
            <w:tcBorders>
              <w:top w:val="single" w:sz="8" w:color="0000EE"/>
              <w:bottom w:val="single" w:sz="8" w:color="1D4E8F"/>
            </w:tcBorders>
          </w:tcPr>
          <w:p>
            <w:pPr>
              <w:spacing w:after="0"/>
              <w:rPr>
                <w:sz w:val="2"/>
                <w:szCs w:val="2"/>
                <w:color w:val="auto"/>
              </w:rPr>
            </w:pPr>
          </w:p>
        </w:tc>
        <w:tc>
          <w:tcPr>
            <w:tcW w:w="20" w:type="dxa"/>
            <w:vAlign w:val="bottom"/>
            <w:tcBorders>
              <w:top w:val="single" w:sz="8" w:color="0000EE"/>
              <w:bottom w:val="single" w:sz="8" w:color="1D4E8F"/>
            </w:tcBorders>
          </w:tcPr>
          <w:p>
            <w:pPr>
              <w:spacing w:after="0"/>
              <w:rPr>
                <w:sz w:val="2"/>
                <w:szCs w:val="2"/>
                <w:color w:val="auto"/>
              </w:rPr>
            </w:pPr>
          </w:p>
        </w:tc>
        <w:tc>
          <w:tcPr>
            <w:tcW w:w="4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14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1700" w:type="dxa"/>
            <w:vAlign w:val="bottom"/>
            <w:tcBorders>
              <w:bottom w:val="single" w:sz="8" w:color="1D4E8F"/>
            </w:tcBorders>
          </w:tcPr>
          <w:p>
            <w:pPr>
              <w:spacing w:after="0"/>
              <w:rPr>
                <w:sz w:val="2"/>
                <w:szCs w:val="2"/>
                <w:color w:val="auto"/>
              </w:rPr>
            </w:pPr>
          </w:p>
        </w:tc>
        <w:tc>
          <w:tcPr>
            <w:tcW w:w="20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4180" w:type="dxa"/>
            <w:vAlign w:val="bottom"/>
            <w:gridSpan w:val="17"/>
          </w:tcPr>
          <w:p>
            <w:pPr>
              <w:spacing w:after="0" w:line="154" w:lineRule="exact"/>
              <w:rPr>
                <w:sz w:val="20"/>
                <w:szCs w:val="20"/>
                <w:color w:val="auto"/>
              </w:rPr>
            </w:pPr>
            <w:r>
              <w:rPr>
                <w:rFonts w:ascii="Times New Roman" w:cs="Times New Roman" w:eastAsia="Times New Roman" w:hAnsi="Times New Roman"/>
                <w:sz w:val="17"/>
                <w:szCs w:val="17"/>
                <w:color w:val="0000EE"/>
              </w:rPr>
              <w:t>Board Leadership Structure</w:t>
            </w:r>
          </w:p>
        </w:tc>
        <w:tc>
          <w:tcPr>
            <w:tcW w:w="30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Board Refreshment</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Trustee Independence</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Nominations by Shareholders</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Shareholder Engagement</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Board’s Role in Risk Oversight</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Board Evaluation Process</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Board Meetings Held during 2025</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Executive Sessions</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Service on Other Boards</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Shareholder Rights</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Governing Documents</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Disclosure Committee</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Communications with the Board</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Environmental, Social and Governance (ESG) Practices and</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3980" w:type="dxa"/>
            <w:vAlign w:val="bottom"/>
            <w:tcBorders>
              <w:top w:val="single" w:sz="8" w:color="0000EE"/>
            </w:tcBorders>
            <w:gridSpan w:val="16"/>
          </w:tcPr>
          <w:p>
            <w:pPr>
              <w:spacing w:after="0" w:line="179" w:lineRule="exact"/>
              <w:rPr>
                <w:sz w:val="20"/>
                <w:szCs w:val="20"/>
                <w:color w:val="auto"/>
              </w:rPr>
            </w:pPr>
            <w:r>
              <w:rPr>
                <w:rFonts w:ascii="Times New Roman" w:cs="Times New Roman" w:eastAsia="Times New Roman" w:hAnsi="Times New Roman"/>
                <w:sz w:val="17"/>
                <w:szCs w:val="17"/>
                <w:color w:val="0000EE"/>
              </w:rPr>
              <w:t>Programs</w:t>
            </w:r>
          </w:p>
        </w:tc>
        <w:tc>
          <w:tcPr>
            <w:tcW w:w="200" w:type="dxa"/>
            <w:vAlign w:val="bottom"/>
          </w:tcPr>
          <w:p>
            <w:pPr>
              <w:spacing w:after="0"/>
              <w:rPr>
                <w:sz w:val="15"/>
                <w:szCs w:val="15"/>
                <w:color w:val="auto"/>
              </w:rPr>
            </w:pPr>
          </w:p>
        </w:tc>
        <w:tc>
          <w:tcPr>
            <w:tcW w:w="32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3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7"/>
          </w:tcPr>
          <w:p>
            <w:pPr>
              <w:spacing w:after="0" w:line="151" w:lineRule="exact"/>
              <w:rPr>
                <w:sz w:val="20"/>
                <w:szCs w:val="20"/>
                <w:color w:val="auto"/>
              </w:rPr>
            </w:pPr>
            <w:r>
              <w:rPr>
                <w:rFonts w:ascii="Times New Roman" w:cs="Times New Roman" w:eastAsia="Times New Roman" w:hAnsi="Times New Roman"/>
                <w:sz w:val="17"/>
                <w:szCs w:val="17"/>
                <w:color w:val="0000EE"/>
              </w:rPr>
              <w:t>Cybersecurity</w:t>
            </w: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40" w:type="dxa"/>
            <w:vAlign w:val="bottom"/>
            <w:tcBorders>
              <w:top w:val="single" w:sz="8" w:color="0000EE"/>
              <w:bottom w:val="single" w:sz="8" w:color="999999"/>
            </w:tcBorders>
          </w:tcPr>
          <w:p>
            <w:pPr>
              <w:spacing w:after="0" w:line="20" w:lineRule="exact"/>
              <w:rPr>
                <w:sz w:val="1"/>
                <w:szCs w:val="1"/>
                <w:color w:val="auto"/>
              </w:rPr>
            </w:pPr>
          </w:p>
        </w:tc>
        <w:tc>
          <w:tcPr>
            <w:tcW w:w="280" w:type="dxa"/>
            <w:vAlign w:val="bottom"/>
            <w:tcBorders>
              <w:top w:val="single" w:sz="8" w:color="0000EE"/>
              <w:bottom w:val="single" w:sz="8" w:color="999999"/>
            </w:tcBorders>
          </w:tcPr>
          <w:p>
            <w:pPr>
              <w:spacing w:after="0" w:line="20" w:lineRule="exact"/>
              <w:rPr>
                <w:sz w:val="1"/>
                <w:szCs w:val="1"/>
                <w:color w:val="auto"/>
              </w:rPr>
            </w:pPr>
          </w:p>
        </w:tc>
        <w:tc>
          <w:tcPr>
            <w:tcW w:w="3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70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1440" w:type="dxa"/>
            <w:vAlign w:val="bottom"/>
            <w:tcBorders>
              <w:bottom w:val="single" w:sz="8" w:color="0000EE"/>
            </w:tcBorders>
            <w:gridSpan w:val="5"/>
          </w:tcPr>
          <w:p>
            <w:pPr>
              <w:spacing w:after="0" w:line="151" w:lineRule="exact"/>
              <w:rPr>
                <w:sz w:val="20"/>
                <w:szCs w:val="20"/>
                <w:color w:val="auto"/>
              </w:rPr>
            </w:pPr>
            <w:r>
              <w:rPr>
                <w:rFonts w:ascii="Times New Roman" w:cs="Times New Roman" w:eastAsia="Times New Roman" w:hAnsi="Times New Roman"/>
                <w:sz w:val="17"/>
                <w:szCs w:val="17"/>
                <w:color w:val="0000EE"/>
                <w:w w:val="96"/>
              </w:rPr>
              <w:t>Whistleblower Policy</w:t>
            </w:r>
          </w:p>
        </w:tc>
        <w:tc>
          <w:tcPr>
            <w:tcW w:w="2740" w:type="dxa"/>
            <w:vAlign w:val="bottom"/>
            <w:gridSpan w:val="12"/>
          </w:tcPr>
          <w:p>
            <w:pPr>
              <w:spacing w:after="0"/>
              <w:rPr>
                <w:sz w:val="13"/>
                <w:szCs w:val="13"/>
                <w:color w:val="auto"/>
              </w:rPr>
            </w:pPr>
          </w:p>
        </w:tc>
        <w:tc>
          <w:tcPr>
            <w:tcW w:w="3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4320" w:type="dxa"/>
            <w:vAlign w:val="bottom"/>
            <w:gridSpan w:val="17"/>
          </w:tcPr>
          <w:p>
            <w:pPr>
              <w:spacing w:after="0" w:line="211" w:lineRule="exact"/>
              <w:rPr>
                <w:sz w:val="20"/>
                <w:szCs w:val="20"/>
                <w:color w:val="auto"/>
              </w:rPr>
            </w:pPr>
            <w:r>
              <w:rPr>
                <w:rFonts w:ascii="Times New Roman" w:cs="Times New Roman" w:eastAsia="Times New Roman" w:hAnsi="Times New Roman"/>
                <w:sz w:val="20"/>
                <w:szCs w:val="20"/>
                <w:color w:val="0000EE"/>
              </w:rPr>
              <w:t>Trustee Compensation</w:t>
            </w:r>
          </w:p>
        </w:tc>
        <w:tc>
          <w:tcPr>
            <w:tcW w:w="30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86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80" w:type="dxa"/>
            <w:vAlign w:val="bottom"/>
            <w:tcBorders>
              <w:top w:val="single" w:sz="8" w:color="0000EE"/>
              <w:bottom w:val="single" w:sz="8" w:color="1D4E8F"/>
            </w:tcBorders>
          </w:tcPr>
          <w:p>
            <w:pPr>
              <w:spacing w:after="0"/>
              <w:rPr>
                <w:sz w:val="2"/>
                <w:szCs w:val="2"/>
                <w:color w:val="auto"/>
              </w:rPr>
            </w:pPr>
          </w:p>
        </w:tc>
        <w:tc>
          <w:tcPr>
            <w:tcW w:w="340" w:type="dxa"/>
            <w:vAlign w:val="bottom"/>
            <w:tcBorders>
              <w:top w:val="single" w:sz="8" w:color="0000EE"/>
              <w:bottom w:val="single" w:sz="8" w:color="1D4E8F"/>
            </w:tcBorders>
          </w:tcPr>
          <w:p>
            <w:pPr>
              <w:spacing w:after="0"/>
              <w:rPr>
                <w:sz w:val="2"/>
                <w:szCs w:val="2"/>
                <w:color w:val="auto"/>
              </w:rPr>
            </w:pPr>
          </w:p>
        </w:tc>
        <w:tc>
          <w:tcPr>
            <w:tcW w:w="60" w:type="dxa"/>
            <w:vAlign w:val="bottom"/>
            <w:tcBorders>
              <w:bottom w:val="single" w:sz="8" w:color="1D4E8F"/>
            </w:tcBorders>
          </w:tcPr>
          <w:p>
            <w:pPr>
              <w:spacing w:after="0"/>
              <w:rPr>
                <w:sz w:val="2"/>
                <w:szCs w:val="2"/>
                <w:color w:val="auto"/>
              </w:rPr>
            </w:pPr>
          </w:p>
        </w:tc>
        <w:tc>
          <w:tcPr>
            <w:tcW w:w="140" w:type="dxa"/>
            <w:vAlign w:val="bottom"/>
            <w:tcBorders>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820" w:type="dxa"/>
            <w:vAlign w:val="bottom"/>
            <w:tcBorders>
              <w:bottom w:val="single" w:sz="8" w:color="1D4E8F"/>
            </w:tcBorders>
          </w:tcPr>
          <w:p>
            <w:pPr>
              <w:spacing w:after="0"/>
              <w:rPr>
                <w:sz w:val="2"/>
                <w:szCs w:val="2"/>
                <w:color w:val="auto"/>
              </w:rPr>
            </w:pPr>
          </w:p>
        </w:tc>
        <w:tc>
          <w:tcPr>
            <w:tcW w:w="42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6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EE"/>
              </w:rPr>
              <w:t>Senior Executives</w:t>
            </w:r>
          </w:p>
        </w:tc>
        <w:tc>
          <w:tcPr>
            <w:tcW w:w="3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86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80" w:type="dxa"/>
            <w:vAlign w:val="bottom"/>
            <w:tcBorders>
              <w:top w:val="single" w:sz="8" w:color="0000EE"/>
              <w:bottom w:val="single" w:sz="8" w:color="1D4E8F"/>
            </w:tcBorders>
          </w:tcPr>
          <w:p>
            <w:pPr>
              <w:spacing w:after="0"/>
              <w:rPr>
                <w:sz w:val="2"/>
                <w:szCs w:val="2"/>
                <w:color w:val="auto"/>
              </w:rPr>
            </w:pPr>
          </w:p>
        </w:tc>
        <w:tc>
          <w:tcPr>
            <w:tcW w:w="340" w:type="dxa"/>
            <w:vAlign w:val="bottom"/>
            <w:tcBorders>
              <w:bottom w:val="single" w:sz="8" w:color="1D4E8F"/>
            </w:tcBorders>
          </w:tcPr>
          <w:p>
            <w:pPr>
              <w:spacing w:after="0"/>
              <w:rPr>
                <w:sz w:val="2"/>
                <w:szCs w:val="2"/>
                <w:color w:val="auto"/>
              </w:rPr>
            </w:pPr>
          </w:p>
        </w:tc>
        <w:tc>
          <w:tcPr>
            <w:tcW w:w="60" w:type="dxa"/>
            <w:vAlign w:val="bottom"/>
            <w:tcBorders>
              <w:bottom w:val="single" w:sz="8" w:color="1D4E8F"/>
            </w:tcBorders>
          </w:tcPr>
          <w:p>
            <w:pPr>
              <w:spacing w:after="0"/>
              <w:rPr>
                <w:sz w:val="2"/>
                <w:szCs w:val="2"/>
                <w:color w:val="auto"/>
              </w:rPr>
            </w:pPr>
          </w:p>
        </w:tc>
        <w:tc>
          <w:tcPr>
            <w:tcW w:w="140" w:type="dxa"/>
            <w:vAlign w:val="bottom"/>
            <w:tcBorders>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820" w:type="dxa"/>
            <w:vAlign w:val="bottom"/>
            <w:tcBorders>
              <w:bottom w:val="single" w:sz="8" w:color="1D4E8F"/>
            </w:tcBorders>
          </w:tcPr>
          <w:p>
            <w:pPr>
              <w:spacing w:after="0"/>
              <w:rPr>
                <w:sz w:val="2"/>
                <w:szCs w:val="2"/>
                <w:color w:val="auto"/>
              </w:rPr>
            </w:pPr>
          </w:p>
        </w:tc>
        <w:tc>
          <w:tcPr>
            <w:tcW w:w="42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6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EE"/>
              </w:rPr>
              <w:t>Indemnification</w:t>
            </w:r>
          </w:p>
        </w:tc>
        <w:tc>
          <w:tcPr>
            <w:tcW w:w="3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86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80" w:type="dxa"/>
            <w:vAlign w:val="bottom"/>
            <w:tcBorders>
              <w:bottom w:val="single" w:sz="8" w:color="1D4E8F"/>
            </w:tcBorders>
          </w:tcPr>
          <w:p>
            <w:pPr>
              <w:spacing w:after="0"/>
              <w:rPr>
                <w:sz w:val="2"/>
                <w:szCs w:val="2"/>
                <w:color w:val="auto"/>
              </w:rPr>
            </w:pPr>
          </w:p>
        </w:tc>
        <w:tc>
          <w:tcPr>
            <w:tcW w:w="340" w:type="dxa"/>
            <w:vAlign w:val="bottom"/>
            <w:tcBorders>
              <w:bottom w:val="single" w:sz="8" w:color="1D4E8F"/>
            </w:tcBorders>
          </w:tcPr>
          <w:p>
            <w:pPr>
              <w:spacing w:after="0"/>
              <w:rPr>
                <w:sz w:val="2"/>
                <w:szCs w:val="2"/>
                <w:color w:val="auto"/>
              </w:rPr>
            </w:pPr>
          </w:p>
        </w:tc>
        <w:tc>
          <w:tcPr>
            <w:tcW w:w="60" w:type="dxa"/>
            <w:vAlign w:val="bottom"/>
            <w:tcBorders>
              <w:bottom w:val="single" w:sz="8" w:color="1D4E8F"/>
            </w:tcBorders>
          </w:tcPr>
          <w:p>
            <w:pPr>
              <w:spacing w:after="0"/>
              <w:rPr>
                <w:sz w:val="2"/>
                <w:szCs w:val="2"/>
                <w:color w:val="auto"/>
              </w:rPr>
            </w:pPr>
          </w:p>
        </w:tc>
        <w:tc>
          <w:tcPr>
            <w:tcW w:w="140" w:type="dxa"/>
            <w:vAlign w:val="bottom"/>
            <w:tcBorders>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820" w:type="dxa"/>
            <w:vAlign w:val="bottom"/>
            <w:tcBorders>
              <w:bottom w:val="single" w:sz="8" w:color="1D4E8F"/>
            </w:tcBorders>
          </w:tcPr>
          <w:p>
            <w:pPr>
              <w:spacing w:after="0"/>
              <w:rPr>
                <w:sz w:val="2"/>
                <w:szCs w:val="2"/>
                <w:color w:val="auto"/>
              </w:rPr>
            </w:pPr>
          </w:p>
        </w:tc>
        <w:tc>
          <w:tcPr>
            <w:tcW w:w="42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6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320" w:type="dxa"/>
            <w:vAlign w:val="bottom"/>
            <w:gridSpan w:val="17"/>
          </w:tcPr>
          <w:p>
            <w:pPr>
              <w:spacing w:after="0" w:line="178" w:lineRule="exact"/>
              <w:rPr>
                <w:sz w:val="20"/>
                <w:szCs w:val="20"/>
                <w:color w:val="auto"/>
              </w:rPr>
            </w:pPr>
            <w:r>
              <w:rPr>
                <w:rFonts w:ascii="Times New Roman" w:cs="Times New Roman" w:eastAsia="Times New Roman" w:hAnsi="Times New Roman"/>
                <w:sz w:val="20"/>
                <w:szCs w:val="20"/>
                <w:color w:val="1D4E8F"/>
              </w:rPr>
              <w:t>Proposal 2</w:t>
            </w:r>
            <w:r>
              <w:rPr>
                <w:rFonts w:ascii="Arial" w:cs="Arial" w:eastAsia="Arial" w:hAnsi="Arial"/>
                <w:sz w:val="20"/>
                <w:szCs w:val="20"/>
                <w:color w:val="1D4E8F"/>
              </w:rPr>
              <w:t xml:space="preserve"> </w:t>
            </w:r>
            <w:r>
              <w:rPr>
                <w:rFonts w:ascii="Times New Roman" w:cs="Times New Roman" w:eastAsia="Times New Roman" w:hAnsi="Times New Roman"/>
                <w:sz w:val="20"/>
                <w:szCs w:val="20"/>
                <w:color w:val="1D4E8F"/>
              </w:rPr>
              <w:t>—</w:t>
            </w:r>
            <w:r>
              <w:rPr>
                <w:rFonts w:ascii="Arial" w:cs="Arial" w:eastAsia="Arial" w:hAnsi="Arial"/>
                <w:sz w:val="20"/>
                <w:szCs w:val="20"/>
                <w:color w:val="1D4E8F"/>
              </w:rPr>
              <w:t xml:space="preserve"> </w:t>
            </w:r>
            <w:r>
              <w:rPr>
                <w:rFonts w:ascii="Times New Roman" w:cs="Times New Roman" w:eastAsia="Times New Roman" w:hAnsi="Times New Roman"/>
                <w:sz w:val="20"/>
                <w:szCs w:val="20"/>
                <w:color w:val="1D4E8F"/>
              </w:rPr>
              <w:t>Ratification of the Appointment of</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04"/>
        </w:trPr>
        <w:tc>
          <w:tcPr>
            <w:tcW w:w="3880" w:type="dxa"/>
            <w:vAlign w:val="bottom"/>
            <w:tcBorders>
              <w:top w:val="single" w:sz="8" w:color="1D4E8F"/>
            </w:tcBorders>
            <w:gridSpan w:val="15"/>
          </w:tcPr>
          <w:p>
            <w:pPr>
              <w:spacing w:after="0" w:line="204" w:lineRule="exact"/>
              <w:rPr>
                <w:sz w:val="20"/>
                <w:szCs w:val="20"/>
                <w:color w:val="auto"/>
              </w:rPr>
            </w:pPr>
            <w:r>
              <w:rPr>
                <w:rFonts w:ascii="Times New Roman" w:cs="Times New Roman" w:eastAsia="Times New Roman" w:hAnsi="Times New Roman"/>
                <w:sz w:val="20"/>
                <w:szCs w:val="20"/>
                <w:color w:val="1D4E8F"/>
              </w:rPr>
              <w:t>Independent Registered Accounting Firm</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1D4E8F"/>
              <w:bottom w:val="single" w:sz="8" w:color="1D4E8F"/>
            </w:tcBorders>
          </w:tcPr>
          <w:p>
            <w:pPr>
              <w:spacing w:after="0" w:line="20" w:lineRule="exact"/>
              <w:rPr>
                <w:sz w:val="1"/>
                <w:szCs w:val="1"/>
                <w:color w:val="auto"/>
              </w:rPr>
            </w:pPr>
          </w:p>
        </w:tc>
        <w:tc>
          <w:tcPr>
            <w:tcW w:w="860" w:type="dxa"/>
            <w:vAlign w:val="bottom"/>
            <w:tcBorders>
              <w:top w:val="single" w:sz="8" w:color="1D4E8F"/>
              <w:bottom w:val="single" w:sz="8" w:color="1D4E8F"/>
            </w:tcBorders>
          </w:tcPr>
          <w:p>
            <w:pPr>
              <w:spacing w:after="0" w:line="20" w:lineRule="exact"/>
              <w:rPr>
                <w:sz w:val="1"/>
                <w:szCs w:val="1"/>
                <w:color w:val="auto"/>
              </w:rPr>
            </w:pPr>
          </w:p>
        </w:tc>
        <w:tc>
          <w:tcPr>
            <w:tcW w:w="40" w:type="dxa"/>
            <w:vAlign w:val="bottom"/>
            <w:tcBorders>
              <w:top w:val="single" w:sz="8" w:color="1D4E8F"/>
              <w:bottom w:val="single" w:sz="8" w:color="1D4E8F"/>
            </w:tcBorders>
          </w:tcPr>
          <w:p>
            <w:pPr>
              <w:spacing w:after="0" w:line="20" w:lineRule="exact"/>
              <w:rPr>
                <w:sz w:val="1"/>
                <w:szCs w:val="1"/>
                <w:color w:val="auto"/>
              </w:rPr>
            </w:pPr>
          </w:p>
        </w:tc>
        <w:tc>
          <w:tcPr>
            <w:tcW w:w="220" w:type="dxa"/>
            <w:vAlign w:val="bottom"/>
            <w:tcBorders>
              <w:top w:val="single" w:sz="8" w:color="1D4E8F"/>
              <w:bottom w:val="single" w:sz="8" w:color="1D4E8F"/>
            </w:tcBorders>
          </w:tcPr>
          <w:p>
            <w:pPr>
              <w:spacing w:after="0" w:line="20" w:lineRule="exact"/>
              <w:rPr>
                <w:sz w:val="1"/>
                <w:szCs w:val="1"/>
                <w:color w:val="auto"/>
              </w:rPr>
            </w:pPr>
          </w:p>
        </w:tc>
        <w:tc>
          <w:tcPr>
            <w:tcW w:w="180" w:type="dxa"/>
            <w:vAlign w:val="bottom"/>
            <w:tcBorders>
              <w:top w:val="single" w:sz="8" w:color="1D4E8F"/>
              <w:bottom w:val="single" w:sz="8" w:color="1D4E8F"/>
            </w:tcBorders>
          </w:tcPr>
          <w:p>
            <w:pPr>
              <w:spacing w:after="0" w:line="20" w:lineRule="exact"/>
              <w:rPr>
                <w:sz w:val="1"/>
                <w:szCs w:val="1"/>
                <w:color w:val="auto"/>
              </w:rPr>
            </w:pPr>
          </w:p>
        </w:tc>
        <w:tc>
          <w:tcPr>
            <w:tcW w:w="340" w:type="dxa"/>
            <w:vAlign w:val="bottom"/>
            <w:tcBorders>
              <w:top w:val="single" w:sz="8" w:color="1D4E8F"/>
              <w:bottom w:val="single" w:sz="8" w:color="1D4E8F"/>
            </w:tcBorders>
          </w:tcPr>
          <w:p>
            <w:pPr>
              <w:spacing w:after="0" w:line="20" w:lineRule="exact"/>
              <w:rPr>
                <w:sz w:val="1"/>
                <w:szCs w:val="1"/>
                <w:color w:val="auto"/>
              </w:rPr>
            </w:pPr>
          </w:p>
        </w:tc>
        <w:tc>
          <w:tcPr>
            <w:tcW w:w="60" w:type="dxa"/>
            <w:vAlign w:val="bottom"/>
            <w:tcBorders>
              <w:top w:val="single" w:sz="8" w:color="1D4E8F"/>
              <w:bottom w:val="single" w:sz="8" w:color="1D4E8F"/>
            </w:tcBorders>
          </w:tcPr>
          <w:p>
            <w:pPr>
              <w:spacing w:after="0" w:line="20" w:lineRule="exact"/>
              <w:rPr>
                <w:sz w:val="1"/>
                <w:szCs w:val="1"/>
                <w:color w:val="auto"/>
              </w:rPr>
            </w:pPr>
          </w:p>
        </w:tc>
        <w:tc>
          <w:tcPr>
            <w:tcW w:w="140" w:type="dxa"/>
            <w:vAlign w:val="bottom"/>
            <w:tcBorders>
              <w:top w:val="single" w:sz="8" w:color="1D4E8F"/>
              <w:bottom w:val="single" w:sz="8" w:color="1D4E8F"/>
            </w:tcBorders>
          </w:tcPr>
          <w:p>
            <w:pPr>
              <w:spacing w:after="0" w:line="20" w:lineRule="exact"/>
              <w:rPr>
                <w:sz w:val="1"/>
                <w:szCs w:val="1"/>
                <w:color w:val="auto"/>
              </w:rPr>
            </w:pPr>
          </w:p>
        </w:tc>
        <w:tc>
          <w:tcPr>
            <w:tcW w:w="160" w:type="dxa"/>
            <w:vAlign w:val="bottom"/>
            <w:tcBorders>
              <w:top w:val="single" w:sz="8" w:color="1D4E8F"/>
              <w:bottom w:val="single" w:sz="8" w:color="1D4E8F"/>
            </w:tcBorders>
          </w:tcPr>
          <w:p>
            <w:pPr>
              <w:spacing w:after="0" w:line="20" w:lineRule="exact"/>
              <w:rPr>
                <w:sz w:val="1"/>
                <w:szCs w:val="1"/>
                <w:color w:val="auto"/>
              </w:rPr>
            </w:pPr>
          </w:p>
        </w:tc>
        <w:tc>
          <w:tcPr>
            <w:tcW w:w="220" w:type="dxa"/>
            <w:vAlign w:val="bottom"/>
            <w:tcBorders>
              <w:top w:val="single" w:sz="8" w:color="1D4E8F"/>
              <w:bottom w:val="single" w:sz="8" w:color="1D4E8F"/>
            </w:tcBorders>
          </w:tcPr>
          <w:p>
            <w:pPr>
              <w:spacing w:after="0" w:line="20" w:lineRule="exact"/>
              <w:rPr>
                <w:sz w:val="1"/>
                <w:szCs w:val="1"/>
                <w:color w:val="auto"/>
              </w:rPr>
            </w:pPr>
          </w:p>
        </w:tc>
        <w:tc>
          <w:tcPr>
            <w:tcW w:w="120" w:type="dxa"/>
            <w:vAlign w:val="bottom"/>
            <w:tcBorders>
              <w:top w:val="single" w:sz="8" w:color="1D4E8F"/>
              <w:bottom w:val="single" w:sz="8" w:color="1D4E8F"/>
            </w:tcBorders>
          </w:tcPr>
          <w:p>
            <w:pPr>
              <w:spacing w:after="0" w:line="20" w:lineRule="exact"/>
              <w:rPr>
                <w:sz w:val="1"/>
                <w:szCs w:val="1"/>
                <w:color w:val="auto"/>
              </w:rPr>
            </w:pPr>
          </w:p>
        </w:tc>
        <w:tc>
          <w:tcPr>
            <w:tcW w:w="820" w:type="dxa"/>
            <w:vAlign w:val="bottom"/>
            <w:tcBorders>
              <w:top w:val="single" w:sz="8" w:color="1D4E8F"/>
              <w:bottom w:val="single" w:sz="8" w:color="1D4E8F"/>
            </w:tcBorders>
          </w:tcPr>
          <w:p>
            <w:pPr>
              <w:spacing w:after="0" w:line="20" w:lineRule="exact"/>
              <w:rPr>
                <w:sz w:val="1"/>
                <w:szCs w:val="1"/>
                <w:color w:val="auto"/>
              </w:rPr>
            </w:pPr>
          </w:p>
        </w:tc>
        <w:tc>
          <w:tcPr>
            <w:tcW w:w="420" w:type="dxa"/>
            <w:vAlign w:val="bottom"/>
            <w:tcBorders>
              <w:bottom w:val="single" w:sz="8" w:color="1D4E8F"/>
            </w:tcBorders>
          </w:tcPr>
          <w:p>
            <w:pPr>
              <w:spacing w:after="0" w:line="20" w:lineRule="exact"/>
              <w:rPr>
                <w:sz w:val="1"/>
                <w:szCs w:val="1"/>
                <w:color w:val="auto"/>
              </w:rPr>
            </w:pPr>
          </w:p>
        </w:tc>
        <w:tc>
          <w:tcPr>
            <w:tcW w:w="80" w:type="dxa"/>
            <w:vAlign w:val="bottom"/>
            <w:tcBorders>
              <w:bottom w:val="single" w:sz="8" w:color="1D4E8F"/>
            </w:tcBorders>
          </w:tcPr>
          <w:p>
            <w:pPr>
              <w:spacing w:after="0" w:line="20" w:lineRule="exact"/>
              <w:rPr>
                <w:sz w:val="1"/>
                <w:szCs w:val="1"/>
                <w:color w:val="auto"/>
              </w:rPr>
            </w:pPr>
          </w:p>
        </w:tc>
        <w:tc>
          <w:tcPr>
            <w:tcW w:w="80" w:type="dxa"/>
            <w:vAlign w:val="bottom"/>
            <w:tcBorders>
              <w:bottom w:val="single" w:sz="8" w:color="1D4E8F"/>
            </w:tcBorders>
          </w:tcPr>
          <w:p>
            <w:pPr>
              <w:spacing w:after="0" w:line="20" w:lineRule="exact"/>
              <w:rPr>
                <w:sz w:val="1"/>
                <w:szCs w:val="1"/>
                <w:color w:val="auto"/>
              </w:rPr>
            </w:pPr>
          </w:p>
        </w:tc>
        <w:tc>
          <w:tcPr>
            <w:tcW w:w="360" w:type="dxa"/>
            <w:vAlign w:val="bottom"/>
            <w:tcBorders>
              <w:bottom w:val="single" w:sz="8" w:color="1D4E8F"/>
            </w:tcBorders>
          </w:tcPr>
          <w:p>
            <w:pPr>
              <w:spacing w:after="0" w:line="20" w:lineRule="exact"/>
              <w:rPr>
                <w:sz w:val="1"/>
                <w:szCs w:val="1"/>
                <w:color w:val="auto"/>
              </w:rPr>
            </w:pPr>
          </w:p>
        </w:tc>
        <w:tc>
          <w:tcPr>
            <w:tcW w:w="80" w:type="dxa"/>
            <w:vAlign w:val="bottom"/>
            <w:tcBorders>
              <w:bottom w:val="single" w:sz="8" w:color="1D4E8F"/>
            </w:tcBorders>
          </w:tcPr>
          <w:p>
            <w:pPr>
              <w:spacing w:after="0" w:line="20" w:lineRule="exact"/>
              <w:rPr>
                <w:sz w:val="1"/>
                <w:szCs w:val="1"/>
                <w:color w:val="auto"/>
              </w:rPr>
            </w:pPr>
          </w:p>
        </w:tc>
        <w:tc>
          <w:tcPr>
            <w:tcW w:w="300" w:type="dxa"/>
            <w:vAlign w:val="bottom"/>
            <w:tcBorders>
              <w:bottom w:val="single" w:sz="8" w:color="1D4E8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0" w:type="dxa"/>
            <w:vAlign w:val="bottom"/>
          </w:tcPr>
          <w:p>
            <w:pPr>
              <w:spacing w:after="0"/>
              <w:rPr>
                <w:sz w:val="13"/>
                <w:szCs w:val="13"/>
                <w:color w:val="auto"/>
              </w:rPr>
            </w:pPr>
          </w:p>
        </w:tc>
        <w:tc>
          <w:tcPr>
            <w:tcW w:w="4180" w:type="dxa"/>
            <w:vAlign w:val="bottom"/>
            <w:gridSpan w:val="16"/>
          </w:tcPr>
          <w:p>
            <w:pPr>
              <w:spacing w:after="0" w:line="151" w:lineRule="exact"/>
              <w:rPr>
                <w:sz w:val="20"/>
                <w:szCs w:val="20"/>
                <w:color w:val="auto"/>
              </w:rPr>
            </w:pPr>
            <w:r>
              <w:rPr>
                <w:rFonts w:ascii="Times New Roman" w:cs="Times New Roman" w:eastAsia="Times New Roman" w:hAnsi="Times New Roman"/>
                <w:sz w:val="17"/>
                <w:szCs w:val="17"/>
                <w:color w:val="0000EE"/>
              </w:rPr>
              <w:t>Accounting Fees and Services</w:t>
            </w:r>
          </w:p>
        </w:tc>
        <w:tc>
          <w:tcPr>
            <w:tcW w:w="300" w:type="dxa"/>
            <w:vAlign w:val="bottom"/>
          </w:tcPr>
          <w:p>
            <w:pPr>
              <w:jc w:val="right"/>
              <w:spacing w:after="0" w:line="151"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34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20" w:type="dxa"/>
            <w:vAlign w:val="bottom"/>
            <w:tcBorders>
              <w:bottom w:val="single" w:sz="8" w:color="999999"/>
            </w:tcBorders>
          </w:tcPr>
          <w:p>
            <w:pPr>
              <w:spacing w:after="0" w:line="20" w:lineRule="exact"/>
              <w:rPr>
                <w:sz w:val="1"/>
                <w:szCs w:val="1"/>
                <w:color w:val="auto"/>
              </w:rPr>
            </w:pPr>
          </w:p>
        </w:tc>
        <w:tc>
          <w:tcPr>
            <w:tcW w:w="4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20" w:type="dxa"/>
            <w:vAlign w:val="bottom"/>
            <w:gridSpan w:val="17"/>
          </w:tcPr>
          <w:p>
            <w:pPr>
              <w:spacing w:after="0" w:line="201" w:lineRule="exact"/>
              <w:rPr>
                <w:sz w:val="20"/>
                <w:szCs w:val="20"/>
                <w:color w:val="auto"/>
              </w:rPr>
            </w:pPr>
            <w:r>
              <w:rPr>
                <w:rFonts w:ascii="Times New Roman" w:cs="Times New Roman" w:eastAsia="Times New Roman" w:hAnsi="Times New Roman"/>
                <w:sz w:val="20"/>
                <w:szCs w:val="20"/>
                <w:color w:val="0000EE"/>
              </w:rPr>
              <w:t>Report of the Audit Committee</w:t>
            </w:r>
          </w:p>
        </w:tc>
        <w:tc>
          <w:tcPr>
            <w:tcW w:w="3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86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80" w:type="dxa"/>
            <w:vAlign w:val="bottom"/>
            <w:tcBorders>
              <w:top w:val="single" w:sz="8" w:color="0000EE"/>
              <w:bottom w:val="single" w:sz="8" w:color="1D4E8F"/>
            </w:tcBorders>
          </w:tcPr>
          <w:p>
            <w:pPr>
              <w:spacing w:after="0"/>
              <w:rPr>
                <w:sz w:val="2"/>
                <w:szCs w:val="2"/>
                <w:color w:val="auto"/>
              </w:rPr>
            </w:pPr>
          </w:p>
        </w:tc>
        <w:tc>
          <w:tcPr>
            <w:tcW w:w="340" w:type="dxa"/>
            <w:vAlign w:val="bottom"/>
            <w:tcBorders>
              <w:top w:val="single" w:sz="8" w:color="0000EE"/>
              <w:bottom w:val="single" w:sz="8" w:color="1D4E8F"/>
            </w:tcBorders>
          </w:tcPr>
          <w:p>
            <w:pPr>
              <w:spacing w:after="0"/>
              <w:rPr>
                <w:sz w:val="2"/>
                <w:szCs w:val="2"/>
                <w:color w:val="auto"/>
              </w:rPr>
            </w:pPr>
          </w:p>
        </w:tc>
        <w:tc>
          <w:tcPr>
            <w:tcW w:w="60" w:type="dxa"/>
            <w:vAlign w:val="bottom"/>
            <w:tcBorders>
              <w:top w:val="single" w:sz="8" w:color="0000EE"/>
              <w:bottom w:val="single" w:sz="8" w:color="1D4E8F"/>
            </w:tcBorders>
          </w:tcPr>
          <w:p>
            <w:pPr>
              <w:spacing w:after="0"/>
              <w:rPr>
                <w:sz w:val="2"/>
                <w:szCs w:val="2"/>
                <w:color w:val="auto"/>
              </w:rPr>
            </w:pPr>
          </w:p>
        </w:tc>
        <w:tc>
          <w:tcPr>
            <w:tcW w:w="140" w:type="dxa"/>
            <w:vAlign w:val="bottom"/>
            <w:tcBorders>
              <w:top w:val="single" w:sz="8" w:color="0000EE"/>
              <w:bottom w:val="single" w:sz="8" w:color="1D4E8F"/>
            </w:tcBorders>
          </w:tcPr>
          <w:p>
            <w:pPr>
              <w:spacing w:after="0"/>
              <w:rPr>
                <w:sz w:val="2"/>
                <w:szCs w:val="2"/>
                <w:color w:val="auto"/>
              </w:rPr>
            </w:pPr>
          </w:p>
        </w:tc>
        <w:tc>
          <w:tcPr>
            <w:tcW w:w="16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20" w:type="dxa"/>
            <w:vAlign w:val="bottom"/>
            <w:tcBorders>
              <w:top w:val="single" w:sz="8" w:color="0000EE"/>
              <w:bottom w:val="single" w:sz="8" w:color="1D4E8F"/>
            </w:tcBorders>
          </w:tcPr>
          <w:p>
            <w:pPr>
              <w:spacing w:after="0"/>
              <w:rPr>
                <w:sz w:val="2"/>
                <w:szCs w:val="2"/>
                <w:color w:val="auto"/>
              </w:rPr>
            </w:pPr>
          </w:p>
        </w:tc>
        <w:tc>
          <w:tcPr>
            <w:tcW w:w="820" w:type="dxa"/>
            <w:vAlign w:val="bottom"/>
            <w:tcBorders>
              <w:bottom w:val="single" w:sz="8" w:color="1D4E8F"/>
            </w:tcBorders>
          </w:tcPr>
          <w:p>
            <w:pPr>
              <w:spacing w:after="0"/>
              <w:rPr>
                <w:sz w:val="2"/>
                <w:szCs w:val="2"/>
                <w:color w:val="auto"/>
              </w:rPr>
            </w:pPr>
          </w:p>
        </w:tc>
        <w:tc>
          <w:tcPr>
            <w:tcW w:w="42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6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EE"/>
              </w:rPr>
              <w:t>Executive Compensation</w:t>
            </w:r>
          </w:p>
        </w:tc>
        <w:tc>
          <w:tcPr>
            <w:tcW w:w="3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86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80" w:type="dxa"/>
            <w:vAlign w:val="bottom"/>
            <w:tcBorders>
              <w:top w:val="single" w:sz="8" w:color="0000EE"/>
              <w:bottom w:val="single" w:sz="8" w:color="1D4E8F"/>
            </w:tcBorders>
          </w:tcPr>
          <w:p>
            <w:pPr>
              <w:spacing w:after="0"/>
              <w:rPr>
                <w:sz w:val="2"/>
                <w:szCs w:val="2"/>
                <w:color w:val="auto"/>
              </w:rPr>
            </w:pPr>
          </w:p>
        </w:tc>
        <w:tc>
          <w:tcPr>
            <w:tcW w:w="340" w:type="dxa"/>
            <w:vAlign w:val="bottom"/>
            <w:tcBorders>
              <w:top w:val="single" w:sz="8" w:color="0000EE"/>
              <w:bottom w:val="single" w:sz="8" w:color="1D4E8F"/>
            </w:tcBorders>
          </w:tcPr>
          <w:p>
            <w:pPr>
              <w:spacing w:after="0"/>
              <w:rPr>
                <w:sz w:val="2"/>
                <w:szCs w:val="2"/>
                <w:color w:val="auto"/>
              </w:rPr>
            </w:pPr>
          </w:p>
        </w:tc>
        <w:tc>
          <w:tcPr>
            <w:tcW w:w="60" w:type="dxa"/>
            <w:vAlign w:val="bottom"/>
            <w:tcBorders>
              <w:top w:val="single" w:sz="8" w:color="0000EE"/>
              <w:bottom w:val="single" w:sz="8" w:color="1D4E8F"/>
            </w:tcBorders>
          </w:tcPr>
          <w:p>
            <w:pPr>
              <w:spacing w:after="0"/>
              <w:rPr>
                <w:sz w:val="2"/>
                <w:szCs w:val="2"/>
                <w:color w:val="auto"/>
              </w:rPr>
            </w:pPr>
          </w:p>
        </w:tc>
        <w:tc>
          <w:tcPr>
            <w:tcW w:w="140" w:type="dxa"/>
            <w:vAlign w:val="bottom"/>
            <w:tcBorders>
              <w:top w:val="single" w:sz="8" w:color="0000EE"/>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820" w:type="dxa"/>
            <w:vAlign w:val="bottom"/>
            <w:tcBorders>
              <w:bottom w:val="single" w:sz="8" w:color="1D4E8F"/>
            </w:tcBorders>
          </w:tcPr>
          <w:p>
            <w:pPr>
              <w:spacing w:after="0"/>
              <w:rPr>
                <w:sz w:val="2"/>
                <w:szCs w:val="2"/>
                <w:color w:val="auto"/>
              </w:rPr>
            </w:pPr>
          </w:p>
        </w:tc>
        <w:tc>
          <w:tcPr>
            <w:tcW w:w="42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6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4180" w:type="dxa"/>
            <w:vAlign w:val="bottom"/>
            <w:gridSpan w:val="16"/>
          </w:tcPr>
          <w:p>
            <w:pPr>
              <w:spacing w:after="0" w:line="154" w:lineRule="exact"/>
              <w:rPr>
                <w:sz w:val="20"/>
                <w:szCs w:val="20"/>
                <w:color w:val="auto"/>
              </w:rPr>
            </w:pPr>
            <w:r>
              <w:rPr>
                <w:rFonts w:ascii="Times New Roman" w:cs="Times New Roman" w:eastAsia="Times New Roman" w:hAnsi="Times New Roman"/>
                <w:sz w:val="17"/>
                <w:szCs w:val="17"/>
                <w:color w:val="0000EE"/>
              </w:rPr>
              <w:t>Executive Compensation Tables and Other Information</w:t>
            </w:r>
          </w:p>
        </w:tc>
        <w:tc>
          <w:tcPr>
            <w:tcW w:w="30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34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820" w:type="dxa"/>
            <w:vAlign w:val="bottom"/>
            <w:tcBorders>
              <w:top w:val="single" w:sz="8" w:color="0000EE"/>
              <w:bottom w:val="single" w:sz="8" w:color="999999"/>
            </w:tcBorders>
          </w:tcPr>
          <w:p>
            <w:pPr>
              <w:spacing w:after="0" w:line="20" w:lineRule="exact"/>
              <w:rPr>
                <w:sz w:val="1"/>
                <w:szCs w:val="1"/>
                <w:color w:val="auto"/>
              </w:rPr>
            </w:pPr>
          </w:p>
        </w:tc>
        <w:tc>
          <w:tcPr>
            <w:tcW w:w="42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320" w:type="dxa"/>
            <w:vAlign w:val="bottom"/>
            <w:gridSpan w:val="17"/>
          </w:tcPr>
          <w:p>
            <w:pPr>
              <w:spacing w:after="0" w:line="201" w:lineRule="exact"/>
              <w:rPr>
                <w:sz w:val="20"/>
                <w:szCs w:val="20"/>
                <w:color w:val="auto"/>
              </w:rPr>
            </w:pPr>
            <w:r>
              <w:rPr>
                <w:rFonts w:ascii="Times New Roman" w:cs="Times New Roman" w:eastAsia="Times New Roman" w:hAnsi="Times New Roman"/>
                <w:sz w:val="20"/>
                <w:szCs w:val="20"/>
                <w:color w:val="0000EE"/>
              </w:rPr>
              <w:t>Stock Ownership Information</w:t>
            </w:r>
          </w:p>
        </w:tc>
        <w:tc>
          <w:tcPr>
            <w:tcW w:w="3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86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80" w:type="dxa"/>
            <w:vAlign w:val="bottom"/>
            <w:tcBorders>
              <w:top w:val="single" w:sz="8" w:color="0000EE"/>
              <w:bottom w:val="single" w:sz="8" w:color="1D4E8F"/>
            </w:tcBorders>
          </w:tcPr>
          <w:p>
            <w:pPr>
              <w:spacing w:after="0"/>
              <w:rPr>
                <w:sz w:val="2"/>
                <w:szCs w:val="2"/>
                <w:color w:val="auto"/>
              </w:rPr>
            </w:pPr>
          </w:p>
        </w:tc>
        <w:tc>
          <w:tcPr>
            <w:tcW w:w="340" w:type="dxa"/>
            <w:vAlign w:val="bottom"/>
            <w:tcBorders>
              <w:top w:val="single" w:sz="8" w:color="0000EE"/>
              <w:bottom w:val="single" w:sz="8" w:color="1D4E8F"/>
            </w:tcBorders>
          </w:tcPr>
          <w:p>
            <w:pPr>
              <w:spacing w:after="0"/>
              <w:rPr>
                <w:sz w:val="2"/>
                <w:szCs w:val="2"/>
                <w:color w:val="auto"/>
              </w:rPr>
            </w:pPr>
          </w:p>
        </w:tc>
        <w:tc>
          <w:tcPr>
            <w:tcW w:w="60" w:type="dxa"/>
            <w:vAlign w:val="bottom"/>
            <w:tcBorders>
              <w:top w:val="single" w:sz="8" w:color="0000EE"/>
              <w:bottom w:val="single" w:sz="8" w:color="1D4E8F"/>
            </w:tcBorders>
          </w:tcPr>
          <w:p>
            <w:pPr>
              <w:spacing w:after="0"/>
              <w:rPr>
                <w:sz w:val="2"/>
                <w:szCs w:val="2"/>
                <w:color w:val="auto"/>
              </w:rPr>
            </w:pPr>
          </w:p>
        </w:tc>
        <w:tc>
          <w:tcPr>
            <w:tcW w:w="140" w:type="dxa"/>
            <w:vAlign w:val="bottom"/>
            <w:tcBorders>
              <w:top w:val="single" w:sz="8" w:color="0000EE"/>
              <w:bottom w:val="single" w:sz="8" w:color="1D4E8F"/>
            </w:tcBorders>
          </w:tcPr>
          <w:p>
            <w:pPr>
              <w:spacing w:after="0"/>
              <w:rPr>
                <w:sz w:val="2"/>
                <w:szCs w:val="2"/>
                <w:color w:val="auto"/>
              </w:rPr>
            </w:pPr>
          </w:p>
        </w:tc>
        <w:tc>
          <w:tcPr>
            <w:tcW w:w="16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820" w:type="dxa"/>
            <w:vAlign w:val="bottom"/>
            <w:tcBorders>
              <w:bottom w:val="single" w:sz="8" w:color="1D4E8F"/>
            </w:tcBorders>
          </w:tcPr>
          <w:p>
            <w:pPr>
              <w:spacing w:after="0"/>
              <w:rPr>
                <w:sz w:val="2"/>
                <w:szCs w:val="2"/>
                <w:color w:val="auto"/>
              </w:rPr>
            </w:pPr>
          </w:p>
        </w:tc>
        <w:tc>
          <w:tcPr>
            <w:tcW w:w="42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6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3580" w:type="dxa"/>
            <w:vAlign w:val="bottom"/>
            <w:tcBorders>
              <w:bottom w:val="single" w:sz="8" w:color="0000EE"/>
            </w:tcBorders>
            <w:gridSpan w:val="12"/>
          </w:tcPr>
          <w:p>
            <w:pPr>
              <w:spacing w:after="0" w:line="154" w:lineRule="exact"/>
              <w:rPr>
                <w:sz w:val="20"/>
                <w:szCs w:val="20"/>
                <w:color w:val="auto"/>
              </w:rPr>
            </w:pPr>
            <w:r>
              <w:rPr>
                <w:rFonts w:ascii="Times New Roman" w:cs="Times New Roman" w:eastAsia="Times New Roman" w:hAnsi="Times New Roman"/>
                <w:sz w:val="17"/>
                <w:szCs w:val="17"/>
                <w:color w:val="0000EE"/>
                <w:w w:val="96"/>
              </w:rPr>
              <w:t>Security Ownership of Certain Beneficial Owners and</w:t>
            </w:r>
          </w:p>
        </w:tc>
        <w:tc>
          <w:tcPr>
            <w:tcW w:w="600" w:type="dxa"/>
            <w:vAlign w:val="bottom"/>
            <w:gridSpan w:val="4"/>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4180" w:type="dxa"/>
            <w:vAlign w:val="bottom"/>
            <w:gridSpan w:val="16"/>
          </w:tcPr>
          <w:p>
            <w:pPr>
              <w:spacing w:after="0" w:line="179" w:lineRule="exact"/>
              <w:rPr>
                <w:sz w:val="20"/>
                <w:szCs w:val="20"/>
                <w:color w:val="auto"/>
              </w:rPr>
            </w:pPr>
            <w:r>
              <w:rPr>
                <w:rFonts w:ascii="Times New Roman" w:cs="Times New Roman" w:eastAsia="Times New Roman" w:hAnsi="Times New Roman"/>
                <w:sz w:val="17"/>
                <w:szCs w:val="17"/>
                <w:color w:val="0000EE"/>
              </w:rPr>
              <w:t>Management</w:t>
            </w:r>
          </w:p>
        </w:tc>
        <w:tc>
          <w:tcPr>
            <w:tcW w:w="3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820" w:type="dxa"/>
            <w:vAlign w:val="bottom"/>
            <w:tcBorders>
              <w:bottom w:val="single" w:sz="8" w:color="999999"/>
            </w:tcBorders>
          </w:tcPr>
          <w:p>
            <w:pPr>
              <w:spacing w:after="0" w:line="20" w:lineRule="exact"/>
              <w:rPr>
                <w:sz w:val="1"/>
                <w:szCs w:val="1"/>
                <w:color w:val="auto"/>
              </w:rPr>
            </w:pPr>
          </w:p>
        </w:tc>
        <w:tc>
          <w:tcPr>
            <w:tcW w:w="42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6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30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40" w:type="dxa"/>
            <w:vAlign w:val="bottom"/>
          </w:tcPr>
          <w:p>
            <w:pPr>
              <w:spacing w:after="0"/>
              <w:rPr>
                <w:sz w:val="17"/>
                <w:szCs w:val="17"/>
                <w:color w:val="auto"/>
              </w:rPr>
            </w:pPr>
          </w:p>
        </w:tc>
        <w:tc>
          <w:tcPr>
            <w:tcW w:w="4180" w:type="dxa"/>
            <w:vAlign w:val="bottom"/>
            <w:gridSpan w:val="16"/>
          </w:tcPr>
          <w:p>
            <w:pPr>
              <w:spacing w:after="0" w:line="201" w:lineRule="exact"/>
              <w:rPr>
                <w:sz w:val="20"/>
                <w:szCs w:val="20"/>
                <w:color w:val="auto"/>
              </w:rPr>
            </w:pPr>
            <w:r>
              <w:rPr>
                <w:rFonts w:ascii="Times New Roman" w:cs="Times New Roman" w:eastAsia="Times New Roman" w:hAnsi="Times New Roman"/>
                <w:sz w:val="20"/>
                <w:szCs w:val="20"/>
                <w:color w:val="0000EE"/>
                <w:w w:val="97"/>
              </w:rPr>
              <w:t>Certain Relationships and Related Party Transactions</w:t>
            </w:r>
          </w:p>
        </w:tc>
        <w:tc>
          <w:tcPr>
            <w:tcW w:w="3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86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80" w:type="dxa"/>
            <w:vAlign w:val="bottom"/>
            <w:tcBorders>
              <w:top w:val="single" w:sz="8" w:color="0000EE"/>
              <w:bottom w:val="single" w:sz="8" w:color="1D4E8F"/>
            </w:tcBorders>
          </w:tcPr>
          <w:p>
            <w:pPr>
              <w:spacing w:after="0"/>
              <w:rPr>
                <w:sz w:val="2"/>
                <w:szCs w:val="2"/>
                <w:color w:val="auto"/>
              </w:rPr>
            </w:pPr>
          </w:p>
        </w:tc>
        <w:tc>
          <w:tcPr>
            <w:tcW w:w="340" w:type="dxa"/>
            <w:vAlign w:val="bottom"/>
            <w:tcBorders>
              <w:top w:val="single" w:sz="8" w:color="0000EE"/>
              <w:bottom w:val="single" w:sz="8" w:color="1D4E8F"/>
            </w:tcBorders>
          </w:tcPr>
          <w:p>
            <w:pPr>
              <w:spacing w:after="0"/>
              <w:rPr>
                <w:sz w:val="2"/>
                <w:szCs w:val="2"/>
                <w:color w:val="auto"/>
              </w:rPr>
            </w:pPr>
          </w:p>
        </w:tc>
        <w:tc>
          <w:tcPr>
            <w:tcW w:w="60" w:type="dxa"/>
            <w:vAlign w:val="bottom"/>
            <w:tcBorders>
              <w:top w:val="single" w:sz="8" w:color="0000EE"/>
              <w:bottom w:val="single" w:sz="8" w:color="1D4E8F"/>
            </w:tcBorders>
          </w:tcPr>
          <w:p>
            <w:pPr>
              <w:spacing w:after="0"/>
              <w:rPr>
                <w:sz w:val="2"/>
                <w:szCs w:val="2"/>
                <w:color w:val="auto"/>
              </w:rPr>
            </w:pPr>
          </w:p>
        </w:tc>
        <w:tc>
          <w:tcPr>
            <w:tcW w:w="140" w:type="dxa"/>
            <w:vAlign w:val="bottom"/>
            <w:tcBorders>
              <w:top w:val="single" w:sz="8" w:color="0000EE"/>
              <w:bottom w:val="single" w:sz="8" w:color="1D4E8F"/>
            </w:tcBorders>
          </w:tcPr>
          <w:p>
            <w:pPr>
              <w:spacing w:after="0"/>
              <w:rPr>
                <w:sz w:val="2"/>
                <w:szCs w:val="2"/>
                <w:color w:val="auto"/>
              </w:rPr>
            </w:pPr>
          </w:p>
        </w:tc>
        <w:tc>
          <w:tcPr>
            <w:tcW w:w="16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20" w:type="dxa"/>
            <w:vAlign w:val="bottom"/>
            <w:tcBorders>
              <w:top w:val="single" w:sz="8" w:color="0000EE"/>
              <w:bottom w:val="single" w:sz="8" w:color="1D4E8F"/>
            </w:tcBorders>
          </w:tcPr>
          <w:p>
            <w:pPr>
              <w:spacing w:after="0"/>
              <w:rPr>
                <w:sz w:val="2"/>
                <w:szCs w:val="2"/>
                <w:color w:val="auto"/>
              </w:rPr>
            </w:pPr>
          </w:p>
        </w:tc>
        <w:tc>
          <w:tcPr>
            <w:tcW w:w="820" w:type="dxa"/>
            <w:vAlign w:val="bottom"/>
            <w:tcBorders>
              <w:top w:val="single" w:sz="8" w:color="0000EE"/>
              <w:bottom w:val="single" w:sz="8" w:color="1D4E8F"/>
            </w:tcBorders>
          </w:tcPr>
          <w:p>
            <w:pPr>
              <w:spacing w:after="0"/>
              <w:rPr>
                <w:sz w:val="2"/>
                <w:szCs w:val="2"/>
                <w:color w:val="auto"/>
              </w:rPr>
            </w:pPr>
          </w:p>
        </w:tc>
        <w:tc>
          <w:tcPr>
            <w:tcW w:w="420" w:type="dxa"/>
            <w:vAlign w:val="bottom"/>
            <w:tcBorders>
              <w:top w:val="single" w:sz="8" w:color="0000EE"/>
              <w:bottom w:val="single" w:sz="8" w:color="1D4E8F"/>
            </w:tcBorders>
          </w:tcPr>
          <w:p>
            <w:pPr>
              <w:spacing w:after="0"/>
              <w:rPr>
                <w:sz w:val="2"/>
                <w:szCs w:val="2"/>
                <w:color w:val="auto"/>
              </w:rPr>
            </w:pPr>
          </w:p>
        </w:tc>
        <w:tc>
          <w:tcPr>
            <w:tcW w:w="80" w:type="dxa"/>
            <w:vAlign w:val="bottom"/>
            <w:tcBorders>
              <w:top w:val="single" w:sz="8" w:color="0000EE"/>
              <w:bottom w:val="single" w:sz="8" w:color="1D4E8F"/>
            </w:tcBorders>
          </w:tcPr>
          <w:p>
            <w:pPr>
              <w:spacing w:after="0"/>
              <w:rPr>
                <w:sz w:val="2"/>
                <w:szCs w:val="2"/>
                <w:color w:val="auto"/>
              </w:rPr>
            </w:pPr>
          </w:p>
        </w:tc>
        <w:tc>
          <w:tcPr>
            <w:tcW w:w="80" w:type="dxa"/>
            <w:vAlign w:val="bottom"/>
            <w:tcBorders>
              <w:top w:val="single" w:sz="8" w:color="0000EE"/>
              <w:bottom w:val="single" w:sz="8" w:color="1D4E8F"/>
            </w:tcBorders>
          </w:tcPr>
          <w:p>
            <w:pPr>
              <w:spacing w:after="0"/>
              <w:rPr>
                <w:sz w:val="2"/>
                <w:szCs w:val="2"/>
                <w:color w:val="auto"/>
              </w:rPr>
            </w:pPr>
          </w:p>
        </w:tc>
        <w:tc>
          <w:tcPr>
            <w:tcW w:w="360" w:type="dxa"/>
            <w:vAlign w:val="bottom"/>
            <w:tcBorders>
              <w:top w:val="single" w:sz="8" w:color="0000EE"/>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EE"/>
              </w:rPr>
              <w:t>Information about the Annual Meeting of</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04"/>
        </w:trPr>
        <w:tc>
          <w:tcPr>
            <w:tcW w:w="3300" w:type="dxa"/>
            <w:vAlign w:val="bottom"/>
            <w:tcBorders>
              <w:top w:val="single" w:sz="8" w:color="0000EE"/>
            </w:tcBorders>
            <w:gridSpan w:val="12"/>
          </w:tcPr>
          <w:p>
            <w:pPr>
              <w:spacing w:after="0" w:line="204" w:lineRule="exact"/>
              <w:rPr>
                <w:sz w:val="20"/>
                <w:szCs w:val="20"/>
                <w:color w:val="auto"/>
              </w:rPr>
            </w:pPr>
            <w:r>
              <w:rPr>
                <w:rFonts w:ascii="Times New Roman" w:cs="Times New Roman" w:eastAsia="Times New Roman" w:hAnsi="Times New Roman"/>
                <w:sz w:val="20"/>
                <w:szCs w:val="20"/>
                <w:color w:val="0000EE"/>
              </w:rPr>
              <w:t>Shareholders</w:t>
            </w:r>
          </w:p>
        </w:tc>
        <w:tc>
          <w:tcPr>
            <w:tcW w:w="1020" w:type="dxa"/>
            <w:vAlign w:val="bottom"/>
            <w:gridSpan w:val="5"/>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86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180" w:type="dxa"/>
            <w:vAlign w:val="bottom"/>
            <w:tcBorders>
              <w:bottom w:val="single" w:sz="8" w:color="1D4E8F"/>
            </w:tcBorders>
          </w:tcPr>
          <w:p>
            <w:pPr>
              <w:spacing w:after="0"/>
              <w:rPr>
                <w:sz w:val="2"/>
                <w:szCs w:val="2"/>
                <w:color w:val="auto"/>
              </w:rPr>
            </w:pPr>
          </w:p>
        </w:tc>
        <w:tc>
          <w:tcPr>
            <w:tcW w:w="340" w:type="dxa"/>
            <w:vAlign w:val="bottom"/>
            <w:tcBorders>
              <w:bottom w:val="single" w:sz="8" w:color="1D4E8F"/>
            </w:tcBorders>
          </w:tcPr>
          <w:p>
            <w:pPr>
              <w:spacing w:after="0"/>
              <w:rPr>
                <w:sz w:val="2"/>
                <w:szCs w:val="2"/>
                <w:color w:val="auto"/>
              </w:rPr>
            </w:pPr>
          </w:p>
        </w:tc>
        <w:tc>
          <w:tcPr>
            <w:tcW w:w="60" w:type="dxa"/>
            <w:vAlign w:val="bottom"/>
            <w:tcBorders>
              <w:bottom w:val="single" w:sz="8" w:color="1D4E8F"/>
            </w:tcBorders>
          </w:tcPr>
          <w:p>
            <w:pPr>
              <w:spacing w:after="0"/>
              <w:rPr>
                <w:sz w:val="2"/>
                <w:szCs w:val="2"/>
                <w:color w:val="auto"/>
              </w:rPr>
            </w:pPr>
          </w:p>
        </w:tc>
        <w:tc>
          <w:tcPr>
            <w:tcW w:w="140" w:type="dxa"/>
            <w:vAlign w:val="bottom"/>
            <w:tcBorders>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820" w:type="dxa"/>
            <w:vAlign w:val="bottom"/>
            <w:tcBorders>
              <w:bottom w:val="single" w:sz="8" w:color="1D4E8F"/>
            </w:tcBorders>
          </w:tcPr>
          <w:p>
            <w:pPr>
              <w:spacing w:after="0"/>
              <w:rPr>
                <w:sz w:val="2"/>
                <w:szCs w:val="2"/>
                <w:color w:val="auto"/>
              </w:rPr>
            </w:pPr>
          </w:p>
        </w:tc>
        <w:tc>
          <w:tcPr>
            <w:tcW w:w="42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6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20" w:type="dxa"/>
            <w:vAlign w:val="bottom"/>
            <w:gridSpan w:val="17"/>
          </w:tcPr>
          <w:p>
            <w:pPr>
              <w:spacing w:after="0" w:line="204" w:lineRule="exact"/>
              <w:rPr>
                <w:sz w:val="20"/>
                <w:szCs w:val="20"/>
                <w:color w:val="auto"/>
              </w:rPr>
            </w:pPr>
            <w:r>
              <w:rPr>
                <w:rFonts w:ascii="Times New Roman" w:cs="Times New Roman" w:eastAsia="Times New Roman" w:hAnsi="Times New Roman"/>
                <w:sz w:val="20"/>
                <w:szCs w:val="20"/>
                <w:color w:val="0000EE"/>
              </w:rPr>
              <w:t>Additional Information</w:t>
            </w:r>
          </w:p>
        </w:tc>
        <w:tc>
          <w:tcPr>
            <w:tcW w:w="3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30"/>
        </w:trPr>
        <w:tc>
          <w:tcPr>
            <w:tcW w:w="140" w:type="dxa"/>
            <w:vAlign w:val="bottom"/>
            <w:tcBorders>
              <w:top w:val="single" w:sz="8" w:color="0000EE"/>
              <w:bottom w:val="single" w:sz="8" w:color="1D4E8F"/>
            </w:tcBorders>
          </w:tcPr>
          <w:p>
            <w:pPr>
              <w:spacing w:after="0"/>
              <w:rPr>
                <w:sz w:val="2"/>
                <w:szCs w:val="2"/>
                <w:color w:val="auto"/>
              </w:rPr>
            </w:pPr>
          </w:p>
        </w:tc>
        <w:tc>
          <w:tcPr>
            <w:tcW w:w="860" w:type="dxa"/>
            <w:vAlign w:val="bottom"/>
            <w:tcBorders>
              <w:top w:val="single" w:sz="8" w:color="0000EE"/>
              <w:bottom w:val="single" w:sz="8" w:color="1D4E8F"/>
            </w:tcBorders>
          </w:tcPr>
          <w:p>
            <w:pPr>
              <w:spacing w:after="0"/>
              <w:rPr>
                <w:sz w:val="2"/>
                <w:szCs w:val="2"/>
                <w:color w:val="auto"/>
              </w:rPr>
            </w:pPr>
          </w:p>
        </w:tc>
        <w:tc>
          <w:tcPr>
            <w:tcW w:w="40" w:type="dxa"/>
            <w:vAlign w:val="bottom"/>
            <w:tcBorders>
              <w:top w:val="single" w:sz="8" w:color="0000EE"/>
              <w:bottom w:val="single" w:sz="8" w:color="1D4E8F"/>
            </w:tcBorders>
          </w:tcPr>
          <w:p>
            <w:pPr>
              <w:spacing w:after="0"/>
              <w:rPr>
                <w:sz w:val="2"/>
                <w:szCs w:val="2"/>
                <w:color w:val="auto"/>
              </w:rPr>
            </w:pPr>
          </w:p>
        </w:tc>
        <w:tc>
          <w:tcPr>
            <w:tcW w:w="220" w:type="dxa"/>
            <w:vAlign w:val="bottom"/>
            <w:tcBorders>
              <w:top w:val="single" w:sz="8" w:color="0000EE"/>
              <w:bottom w:val="single" w:sz="8" w:color="1D4E8F"/>
            </w:tcBorders>
          </w:tcPr>
          <w:p>
            <w:pPr>
              <w:spacing w:after="0"/>
              <w:rPr>
                <w:sz w:val="2"/>
                <w:szCs w:val="2"/>
                <w:color w:val="auto"/>
              </w:rPr>
            </w:pPr>
          </w:p>
        </w:tc>
        <w:tc>
          <w:tcPr>
            <w:tcW w:w="180" w:type="dxa"/>
            <w:vAlign w:val="bottom"/>
            <w:tcBorders>
              <w:top w:val="single" w:sz="8" w:color="0000EE"/>
              <w:bottom w:val="single" w:sz="8" w:color="1D4E8F"/>
            </w:tcBorders>
          </w:tcPr>
          <w:p>
            <w:pPr>
              <w:spacing w:after="0"/>
              <w:rPr>
                <w:sz w:val="2"/>
                <w:szCs w:val="2"/>
                <w:color w:val="auto"/>
              </w:rPr>
            </w:pPr>
          </w:p>
        </w:tc>
        <w:tc>
          <w:tcPr>
            <w:tcW w:w="340" w:type="dxa"/>
            <w:vAlign w:val="bottom"/>
            <w:tcBorders>
              <w:top w:val="single" w:sz="8" w:color="0000EE"/>
              <w:bottom w:val="single" w:sz="8" w:color="1D4E8F"/>
            </w:tcBorders>
          </w:tcPr>
          <w:p>
            <w:pPr>
              <w:spacing w:after="0"/>
              <w:rPr>
                <w:sz w:val="2"/>
                <w:szCs w:val="2"/>
                <w:color w:val="auto"/>
              </w:rPr>
            </w:pPr>
          </w:p>
        </w:tc>
        <w:tc>
          <w:tcPr>
            <w:tcW w:w="60" w:type="dxa"/>
            <w:vAlign w:val="bottom"/>
            <w:tcBorders>
              <w:top w:val="single" w:sz="8" w:color="0000EE"/>
              <w:bottom w:val="single" w:sz="8" w:color="1D4E8F"/>
            </w:tcBorders>
          </w:tcPr>
          <w:p>
            <w:pPr>
              <w:spacing w:after="0"/>
              <w:rPr>
                <w:sz w:val="2"/>
                <w:szCs w:val="2"/>
                <w:color w:val="auto"/>
              </w:rPr>
            </w:pPr>
          </w:p>
        </w:tc>
        <w:tc>
          <w:tcPr>
            <w:tcW w:w="140" w:type="dxa"/>
            <w:vAlign w:val="bottom"/>
            <w:tcBorders>
              <w:bottom w:val="single" w:sz="8" w:color="1D4E8F"/>
            </w:tcBorders>
          </w:tcPr>
          <w:p>
            <w:pPr>
              <w:spacing w:after="0"/>
              <w:rPr>
                <w:sz w:val="2"/>
                <w:szCs w:val="2"/>
                <w:color w:val="auto"/>
              </w:rPr>
            </w:pPr>
          </w:p>
        </w:tc>
        <w:tc>
          <w:tcPr>
            <w:tcW w:w="160" w:type="dxa"/>
            <w:vAlign w:val="bottom"/>
            <w:tcBorders>
              <w:bottom w:val="single" w:sz="8" w:color="1D4E8F"/>
            </w:tcBorders>
          </w:tcPr>
          <w:p>
            <w:pPr>
              <w:spacing w:after="0"/>
              <w:rPr>
                <w:sz w:val="2"/>
                <w:szCs w:val="2"/>
                <w:color w:val="auto"/>
              </w:rPr>
            </w:pPr>
          </w:p>
        </w:tc>
        <w:tc>
          <w:tcPr>
            <w:tcW w:w="220" w:type="dxa"/>
            <w:vAlign w:val="bottom"/>
            <w:tcBorders>
              <w:bottom w:val="single" w:sz="8" w:color="1D4E8F"/>
            </w:tcBorders>
          </w:tcPr>
          <w:p>
            <w:pPr>
              <w:spacing w:after="0"/>
              <w:rPr>
                <w:sz w:val="2"/>
                <w:szCs w:val="2"/>
                <w:color w:val="auto"/>
              </w:rPr>
            </w:pPr>
          </w:p>
        </w:tc>
        <w:tc>
          <w:tcPr>
            <w:tcW w:w="120" w:type="dxa"/>
            <w:vAlign w:val="bottom"/>
            <w:tcBorders>
              <w:bottom w:val="single" w:sz="8" w:color="1D4E8F"/>
            </w:tcBorders>
          </w:tcPr>
          <w:p>
            <w:pPr>
              <w:spacing w:after="0"/>
              <w:rPr>
                <w:sz w:val="2"/>
                <w:szCs w:val="2"/>
                <w:color w:val="auto"/>
              </w:rPr>
            </w:pPr>
          </w:p>
        </w:tc>
        <w:tc>
          <w:tcPr>
            <w:tcW w:w="820" w:type="dxa"/>
            <w:vAlign w:val="bottom"/>
            <w:tcBorders>
              <w:bottom w:val="single" w:sz="8" w:color="1D4E8F"/>
            </w:tcBorders>
          </w:tcPr>
          <w:p>
            <w:pPr>
              <w:spacing w:after="0"/>
              <w:rPr>
                <w:sz w:val="2"/>
                <w:szCs w:val="2"/>
                <w:color w:val="auto"/>
              </w:rPr>
            </w:pPr>
          </w:p>
        </w:tc>
        <w:tc>
          <w:tcPr>
            <w:tcW w:w="42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60" w:type="dxa"/>
            <w:vAlign w:val="bottom"/>
            <w:tcBorders>
              <w:bottom w:val="single" w:sz="8" w:color="1D4E8F"/>
            </w:tcBorders>
          </w:tcPr>
          <w:p>
            <w:pPr>
              <w:spacing w:after="0"/>
              <w:rPr>
                <w:sz w:val="2"/>
                <w:szCs w:val="2"/>
                <w:color w:val="auto"/>
              </w:rPr>
            </w:pPr>
          </w:p>
        </w:tc>
        <w:tc>
          <w:tcPr>
            <w:tcW w:w="80" w:type="dxa"/>
            <w:vAlign w:val="bottom"/>
            <w:tcBorders>
              <w:bottom w:val="single" w:sz="8" w:color="1D4E8F"/>
            </w:tcBorders>
          </w:tcPr>
          <w:p>
            <w:pPr>
              <w:spacing w:after="0"/>
              <w:rPr>
                <w:sz w:val="2"/>
                <w:szCs w:val="2"/>
                <w:color w:val="auto"/>
              </w:rPr>
            </w:pPr>
          </w:p>
        </w:tc>
        <w:tc>
          <w:tcPr>
            <w:tcW w:w="300" w:type="dxa"/>
            <w:vAlign w:val="bottom"/>
            <w:tcBorders>
              <w:bottom w:val="single" w:sz="8" w:color="1D4E8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ectPr>
          <w:pgSz w:w="11900" w:h="16838" w:orient="portrait"/>
          <w:cols w:equalWidth="0" w:num="2">
            <w:col w:w="4620" w:space="680"/>
            <w:col w:w="4620"/>
          </w:cols>
          <w:pgMar w:left="980" w:top="359"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 xml:space="preserve">Star Holdings 2026 Proxy Statement | </w:t>
      </w:r>
      <w:r>
        <w:rPr>
          <w:rFonts w:ascii="Times New Roman" w:cs="Times New Roman" w:eastAsia="Times New Roman" w:hAnsi="Times New Roman"/>
          <w:sz w:val="16"/>
          <w:szCs w:val="16"/>
          <w:b w:val="1"/>
          <w:bCs w:val="1"/>
          <w:color w:val="1D4E8F"/>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346075</wp:posOffset>
            </wp:positionV>
            <wp:extent cx="630682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-103505</wp:posOffset>
            </wp:positionV>
            <wp:extent cx="60769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1D4E8F"/>
        </w:rPr>
        <w:t>Proposal 1</w:t>
      </w:r>
      <w:r>
        <w:rPr>
          <w:rFonts w:ascii="Arial" w:cs="Arial" w:eastAsia="Arial" w:hAnsi="Arial"/>
          <w:sz w:val="40"/>
          <w:szCs w:val="40"/>
          <w:b w:val="1"/>
          <w:bCs w:val="1"/>
          <w:color w:val="1D4E8F"/>
        </w:rPr>
        <w:t xml:space="preserve"> </w:t>
      </w:r>
      <w:r>
        <w:rPr>
          <w:rFonts w:ascii="Times New Roman" w:cs="Times New Roman" w:eastAsia="Times New Roman" w:hAnsi="Times New Roman"/>
          <w:sz w:val="40"/>
          <w:szCs w:val="40"/>
          <w:b w:val="1"/>
          <w:bCs w:val="1"/>
          <w:color w:val="1D4E8F"/>
        </w:rPr>
        <w:t>—</w:t>
      </w:r>
      <w:r>
        <w:rPr>
          <w:rFonts w:ascii="Arial" w:cs="Arial" w:eastAsia="Arial" w:hAnsi="Arial"/>
          <w:sz w:val="40"/>
          <w:szCs w:val="40"/>
          <w:b w:val="1"/>
          <w:bCs w:val="1"/>
          <w:color w:val="1D4E8F"/>
        </w:rPr>
        <w:t xml:space="preserve"> </w:t>
      </w:r>
      <w:r>
        <w:rPr>
          <w:rFonts w:ascii="Times New Roman" w:cs="Times New Roman" w:eastAsia="Times New Roman" w:hAnsi="Times New Roman"/>
          <w:sz w:val="40"/>
          <w:szCs w:val="40"/>
          <w:b w:val="1"/>
          <w:bCs w:val="1"/>
          <w:color w:val="1D4E8F"/>
        </w:rPr>
        <w:t>Election of Trustees</w:t>
      </w:r>
    </w:p>
    <w:p>
      <w:pPr>
        <w:spacing w:after="0" w:line="227"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7"/>
          <w:szCs w:val="17"/>
          <w:color w:val="auto"/>
        </w:rPr>
        <w:t>Star Holdings was formed to succeed to the legacy non-ground lease real estate assets of iStar Inc. (“iStar”). On March 31, 2023, iStar completed its transition to a ground lease focused business through the merger of iStar and Safehold Inc., a ground lease company previously founded by iStar (the “Merger”). iStar continued as the surviving corporation in the Merger and changed its name to “Safehold Inc.” (“Safe”).</w:t>
      </w:r>
    </w:p>
    <w:p>
      <w:pPr>
        <w:spacing w:after="0" w:line="10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7"/>
          <w:szCs w:val="17"/>
          <w:color w:val="auto"/>
        </w:rPr>
        <w:t>Immediately prior to the closing of the Merger, iStar completed a series of reorganization and separation transactions (collectively, the “Spin-Off”). To effectuate the Spin-Off: (i) iStar contributed its remaining legacy non-ground lease assets, 13,522,651 shares of common stock of Safehold Inc. previously owned by iStar and certain other assets to us; and (ii) iStar distributed 100% of our common shares of beneficial interest to holders of common stock of iStar by way of a pro rata distribution of 0.153 common shares of the Company for each outstanding share of iStar common stock held on the record date of the distribution.</w:t>
      </w:r>
    </w:p>
    <w:p>
      <w:pPr>
        <w:spacing w:after="0" w:line="11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Following the Spin-Off, we became an independent, publicly traded company. Our common shares commenced regular-way trading on the Nasdaq Global Market (the “Nasdaq”) under the symbol “STHO” on March 31, 2023. We are externally managed by a wholly-owned subsidiary of Safe (the “Manager”). We are an "emerging growth company" as defined in the Jumpstart Our Business Startups Act of 2020, and, as such, are allowed to provide more limited information in this proxy statement than an issuer that is not an emerging growth company.</w:t>
      </w:r>
    </w:p>
    <w:p>
      <w:pPr>
        <w:spacing w:after="0" w:line="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Our business strategy is to focus on realizing value for our shareholders primarily by maximizing cashflows through active asset management and asset sales. We expect to make certain investments to complete development at our Asbury and Magnolia Green properties, but we do not otherwise currently expect to make material new investments or acquire material new assets.</w:t>
      </w:r>
    </w:p>
    <w:p>
      <w:pPr>
        <w:spacing w:after="0" w:line="10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The Board has nominated trustees Clifford De Souza, Richard Lieb and Nina Matis to be elected to hold office for a term of one year, until the next annual meeting and until their successors have been elected and qualified. All nominees are presently serving as trustees.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Candidates for Election as Trustee</w:t>
      </w:r>
    </w:p>
    <w:p>
      <w:pPr>
        <w:spacing w:after="0" w:line="21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b w:val="1"/>
          <w:bCs w:val="1"/>
          <w:color w:val="auto"/>
        </w:rPr>
        <w:t>Nina B. Matis</w:t>
      </w:r>
      <w:r>
        <w:rPr>
          <w:rFonts w:ascii="Times New Roman" w:cs="Times New Roman" w:eastAsia="Times New Roman" w:hAnsi="Times New Roman"/>
          <w:sz w:val="17"/>
          <w:szCs w:val="17"/>
          <w:color w:val="auto"/>
        </w:rPr>
        <w:t>, age 78, has served as our lead trustee since March 31, 2023. She was the Vice Chairman, Executive Vice President and Chief Legal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of iStar until 2019. Ms. Matis served as iStar’s chief legal officer from 2009 to 2019, as chief investment officer from 2007 to 2018, as general counsel from 1996 to 2009 and as executive vice president from 1999 to 2017. Her core responsibilities included overseeing key corporate legal decisions and litigation strategy, helping shepherd strategic initiatives across multiple functions and helping develop succession talent. Ms. Matis previously served as a partner in the law firm of Katten Muchin Rosenman LLP, as well as serving as head of the national real estate group and on the executive and compensation committees. Ms. Matis previously served as a director of New Plan Excel Realty Trust, Inc. She is a director of Signature Theater Company, Thomas Cole House, a National Historic Landmark that includes the home and the studio of painter Thomas Cole, and National Partnership for Women &amp; Families, a nonprofit, nonpartisan 501(c)(3) organization and serves on the advisory board of The Fisher Center at Bard College. Ms. Matis received a B.A. degree, with honors, from Smith College and a J.D. degree from New York University School of Law. Ms. Matis’ legal skill set and experience in a broad array of directorships allow her to provide diverse and valuable perspectives to our board of trustees.</w:t>
      </w:r>
    </w:p>
    <w:p>
      <w:pPr>
        <w:spacing w:after="0" w:line="11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b w:val="1"/>
          <w:bCs w:val="1"/>
          <w:color w:val="auto"/>
        </w:rPr>
        <w:t>Clifford De Souza</w:t>
      </w:r>
      <w:r>
        <w:rPr>
          <w:rFonts w:ascii="Times New Roman" w:cs="Times New Roman" w:eastAsia="Times New Roman" w:hAnsi="Times New Roman"/>
          <w:sz w:val="17"/>
          <w:szCs w:val="17"/>
          <w:color w:val="404040"/>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 64, has served as our trustee since March 31, 2023. Previously he served as a director of iStar until the time of the Spin-Off.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Mr. De Souza was previously the Chief Executive Officer of MUFG Securities International, where he was responsible for all international securities and investment banking operations including Capital Markets, Secondary Trading, Technology and Operations. Prior to that, he was the Chief Investment Officer at Citigroup Alternative Investments, where he managed over $40 billion in private equity, real estate, structured product, and hedge fund assets, and Global Head Emerging Markets at UBS/SBC Warburg Dillon Read. He has extensive public company executive and senior leadership experience and familiarity with balance sheets, finance and accounting practices. He holds a B.A. from Cambridge University and a Ph.D. from the University of Maryland. Mr. De Souza’s skill set and experience in a broad array of industries as well as his financial expertise allow him to provide diverse and valuable perspectives to our board of trustees.</w:t>
      </w:r>
    </w:p>
    <w:p>
      <w:pPr>
        <w:spacing w:after="0" w:line="11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b w:val="1"/>
          <w:bCs w:val="1"/>
          <w:color w:val="auto"/>
        </w:rPr>
        <w:t>Richard Lieb</w:t>
      </w:r>
      <w:r>
        <w:rPr>
          <w:rFonts w:ascii="Times New Roman" w:cs="Times New Roman" w:eastAsia="Times New Roman" w:hAnsi="Times New Roman"/>
          <w:sz w:val="16"/>
          <w:szCs w:val="16"/>
          <w:color w:val="404040"/>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age 66, has served as our trustee since March 31, 2023. Previously he served as a director of iStar from April 2019 until the time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Spin-Off. Mr. Lieb also currently serves on the boards of AvalonBay Communities, Inc. and Orion Office REIT and has prior experience serving on the boards of CBL Properties, Inc. and VEREIT, Inc. Mr. Lieb served as Chief Financial Officer of Greenhill &amp; Co. from 2008 to 2012 and Head of Real Estate Investment Banking from 2005 to 2018 and as a Senior Advisor from 2018 until June 2023. Prior to Greenhill &amp; Co., Mr. Lieb served as Head of Real Estate Investment Banking at Goldman Sachs &amp; Co. from 2000 to 2005. He has over 35 years of experience focusing on advisory opportunities in the real estate industry and his work has covered the full range of investment banking services for nearly all property sectors, including strategic advisories, IPOs and other securities offerings, asset purchases and sales, property financings, restructurings and M&amp;A. Mr. Lieb holds a B.A. from Wesleyan University and an M.B.A. from Harvard Business School. Our board of trustees believes that Mr. Lieb’s extensive business and real estate industry knowledge and experience make him well-suited to serve on our board of trustees.</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Star Holdings 2026 Proxy Statement | </w:t>
      </w:r>
      <w:r>
        <w:rPr>
          <w:rFonts w:ascii="Times New Roman" w:cs="Times New Roman" w:eastAsia="Times New Roman" w:hAnsi="Times New Roman"/>
          <w:sz w:val="17"/>
          <w:szCs w:val="17"/>
          <w:b w:val="1"/>
          <w:bCs w:val="1"/>
          <w:color w:val="1D4E8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630682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607695"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Proposal 1</w:t>
      </w:r>
      <w:r>
        <w:rPr>
          <w:rFonts w:ascii="Arial" w:cs="Arial" w:eastAsia="Arial" w:hAnsi="Arial"/>
          <w:sz w:val="18"/>
          <w:szCs w:val="18"/>
          <w:b w:val="1"/>
          <w:bCs w:val="1"/>
          <w:color w:val="A8AAAC"/>
        </w:rPr>
        <w:t xml:space="preserve"> </w:t>
      </w:r>
      <w:r>
        <w:rPr>
          <w:rFonts w:ascii="Times New Roman" w:cs="Times New Roman" w:eastAsia="Times New Roman" w:hAnsi="Times New Roman"/>
          <w:sz w:val="18"/>
          <w:szCs w:val="18"/>
          <w:b w:val="1"/>
          <w:bCs w:val="1"/>
          <w:color w:val="A8AAAC"/>
        </w:rPr>
        <w:t>—</w:t>
      </w:r>
      <w:r>
        <w:rPr>
          <w:rFonts w:ascii="Arial" w:cs="Arial" w:eastAsia="Arial" w:hAnsi="Arial"/>
          <w:sz w:val="18"/>
          <w:szCs w:val="18"/>
          <w:b w:val="1"/>
          <w:bCs w:val="1"/>
          <w:color w:val="A8AAAC"/>
        </w:rPr>
        <w:t xml:space="preserve"> </w:t>
      </w:r>
      <w:r>
        <w:rPr>
          <w:rFonts w:ascii="Times New Roman" w:cs="Times New Roman" w:eastAsia="Times New Roman" w:hAnsi="Times New Roman"/>
          <w:sz w:val="18"/>
          <w:szCs w:val="18"/>
          <w:b w:val="1"/>
          <w:bCs w:val="1"/>
          <w:color w:val="A8AAAC"/>
        </w:rPr>
        <w:t>Election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62985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6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7"/>
          <w:szCs w:val="17"/>
          <w:color w:val="auto"/>
        </w:rPr>
        <w:t>Each of the nominees has consented to serve as a trustee if elected. If, at the time of the 2026 Annual Meeting, any nominee is unable or declines to serve as a trustee, the discretionary authority provided in the enclosed proxy will be exercised to vote for a substitute candidate designated by the Board of Trustees, unless the Board chooses to reduce its own size. The Board has no reason to believe that any of the nominees will be unable or will decline to serve if elected. Proxies cannot be voted for more than three persons.</w:t>
      </w:r>
    </w:p>
    <w:p>
      <w:pPr>
        <w:spacing w:after="0" w:line="1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We believe that our trustees should satisfy several qualifications, including demonstrated integrity, a record of personal accomplishments, a commitment to participation in Board activities and other attributes discussed below in “Trustee Nominations and Qualifications.” We also endeavor to have a Board that represents a range of qualities, skills, perspectives and depth of experience in areas that are relevant to and contribute to the Board’s oversight of the Company’s business activities. The Board considered the key experiences, qualifications, skills and attributes of the trustee nominees, described herein, in determining to recommend that they be nominated for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described under “Direct Independence” below, all of the nominees, are independent under the standards prescribed by Nasdaq.</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Trustee Nominations and Qualifications</w:t>
      </w:r>
    </w:p>
    <w:p>
      <w:pPr>
        <w:spacing w:after="0" w:line="21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7"/>
          <w:szCs w:val="17"/>
          <w:color w:val="auto"/>
        </w:rPr>
        <w:t>The Nominating and Corporate Governance Committee is charged with identifying potential Board members and recommending qualified individuals to the Board for its consideration. Our board of trustees is responsible for selecting candidates for election as trustees based on the recommendation of the Nominating and Governance Committee. The Nominating and Governance Committee is authorized to employ third-party search firms to identify potential candidates. In evaluating candidates, the Nominating and Corporate Governance Committee may consider, among other things, a candidate's:</w:t>
      </w:r>
    </w:p>
    <w:p>
      <w:pPr>
        <w:spacing w:after="0" w:line="113" w:lineRule="exact"/>
        <w:rPr>
          <w:sz w:val="20"/>
          <w:szCs w:val="20"/>
          <w:color w:val="auto"/>
        </w:rPr>
      </w:pPr>
    </w:p>
    <w:p>
      <w:pPr>
        <w:ind w:left="1200" w:hanging="603"/>
        <w:spacing w:after="0"/>
        <w:tabs>
          <w:tab w:leader="none" w:pos="1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Degree of independence from management</w:t>
      </w:r>
    </w:p>
    <w:p>
      <w:pPr>
        <w:spacing w:after="0" w:line="12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Judgment, accountability and integrity</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Geographic and demographic background, skills and experience</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Personal qualities, high ethical standards and characteristics, accomplishments, and reputation in the business community</w:t>
      </w:r>
    </w:p>
    <w:p>
      <w:pPr>
        <w:spacing w:after="0" w:line="127" w:lineRule="exact"/>
        <w:rPr>
          <w:rFonts w:ascii="MS PGothic" w:cs="MS PGothic" w:eastAsia="MS PGothic" w:hAnsi="MS PGothic"/>
          <w:sz w:val="17"/>
          <w:szCs w:val="17"/>
          <w:color w:val="auto"/>
        </w:rPr>
      </w:pPr>
    </w:p>
    <w:p>
      <w:pPr>
        <w:ind w:left="1200" w:right="200" w:hanging="603"/>
        <w:spacing w:after="0" w:line="268" w:lineRule="auto"/>
        <w:tabs>
          <w:tab w:leader="none" w:pos="1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Knowledge and contacts in and familiarity with the markets in which we conduct business and in our industry or other industries relevant to our business</w:t>
      </w:r>
    </w:p>
    <w:p>
      <w:pPr>
        <w:spacing w:after="0" w:line="97" w:lineRule="exact"/>
        <w:rPr>
          <w:rFonts w:ascii="MS PGothic" w:cs="MS PGothic" w:eastAsia="MS PGothic" w:hAnsi="MS PGothic"/>
          <w:sz w:val="17"/>
          <w:szCs w:val="17"/>
          <w:color w:val="auto"/>
        </w:rPr>
      </w:pPr>
    </w:p>
    <w:p>
      <w:pPr>
        <w:ind w:left="1200" w:hanging="603"/>
        <w:spacing w:after="0" w:line="268" w:lineRule="auto"/>
        <w:tabs>
          <w:tab w:leader="none" w:pos="1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Ability and willingness to devote sufficient time to serve on the board of trustees and committees of the board of trustees, including other board appointments</w:t>
      </w:r>
    </w:p>
    <w:p>
      <w:pPr>
        <w:spacing w:after="0" w:line="9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Knowledge and expertise in various areas deemed appropriate by the board of trustees, including financial literacy</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Fit of the individual’s skills, experience and personality with those of other trustees</w:t>
      </w:r>
    </w:p>
    <w:p>
      <w:pPr>
        <w:spacing w:after="0" w:line="14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7"/>
          <w:szCs w:val="17"/>
          <w:color w:val="auto"/>
        </w:rPr>
        <w:t>The Nominating and Governance Committee will consider the criteria described above and such other criteria as it deems relevant in the context of an assessment of the perceived needs of the board of trustees as a whole. The Nominating and Corporate Governance Committee also considers whether individuals satisfy the independence criteria set forth in the listing rules of Nasdaq, as well as any special criteria applicable to service on various standing committees of the Board.</w:t>
      </w:r>
    </w:p>
    <w:p>
      <w:pPr>
        <w:spacing w:after="0" w:line="11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The Nominating and Corporate Governance Committee generally identifies nominees by first assessing whether the current members of the Board continue to provide the appropriate mix of knowledge, skills, judgment, experience, backgrounds and other qualities necessary to the Board’s ability to oversee and guide the business and affairs of the organization. The Board generally nominates for re-election current members of the Board who are willing to continue in service, collectively satisfy the criteria listed above and are available to devote enough time and attention to the affairs of the organization. When the Nominating and Corporate Governance Committee seeks new candidates for trustee roles, it intends to seek individuals with qualifications that will complement or enhance the experience, skills, and perspectives of the other members of the Board and enable the Board to remain effective, collegial and responsive.</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2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10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695" cy="11049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8AAAC"/>
        </w:rPr>
        <w:t>Proposal 1</w:t>
      </w:r>
      <w:r>
        <w:rPr>
          <w:rFonts w:ascii="Arial" w:cs="Arial" w:eastAsia="Arial" w:hAnsi="Arial"/>
          <w:sz w:val="18"/>
          <w:szCs w:val="18"/>
          <w:b w:val="1"/>
          <w:bCs w:val="1"/>
          <w:color w:val="A8AAAC"/>
        </w:rPr>
        <w:t xml:space="preserve"> </w:t>
      </w:r>
      <w:r>
        <w:rPr>
          <w:rFonts w:ascii="Times New Roman" w:cs="Times New Roman" w:eastAsia="Times New Roman" w:hAnsi="Times New Roman"/>
          <w:sz w:val="18"/>
          <w:szCs w:val="18"/>
          <w:b w:val="1"/>
          <w:bCs w:val="1"/>
          <w:color w:val="A8AAAC"/>
        </w:rPr>
        <w:t>—</w:t>
      </w:r>
      <w:r>
        <w:rPr>
          <w:rFonts w:ascii="Arial" w:cs="Arial" w:eastAsia="Arial" w:hAnsi="Arial"/>
          <w:sz w:val="18"/>
          <w:szCs w:val="18"/>
          <w:b w:val="1"/>
          <w:bCs w:val="1"/>
          <w:color w:val="A8AAAC"/>
        </w:rPr>
        <w:t xml:space="preserve"> </w:t>
      </w:r>
      <w:r>
        <w:rPr>
          <w:rFonts w:ascii="Times New Roman" w:cs="Times New Roman" w:eastAsia="Times New Roman" w:hAnsi="Times New Roman"/>
          <w:sz w:val="18"/>
          <w:szCs w:val="18"/>
          <w:b w:val="1"/>
          <w:bCs w:val="1"/>
          <w:color w:val="A8AAAC"/>
        </w:rPr>
        <w:t>Election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62985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4E8F"/>
        </w:rPr>
        <w:t>Required Vote</w:t>
      </w:r>
    </w:p>
    <w:p>
      <w:pPr>
        <w:spacing w:after="0" w:line="17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The vote of a plurality of all the votes cast at the 2026 Annual Meeting at which a quorum is present is sufficient for the election of a trustee. For purposes of the election of trustees, abstentions and broker non-votes, if any, will not be counted as votes cast and will have no effect on the result of the vote, although they will be considered present for the purpose of determining the presence of a quorum. A “withhold” vote with respect to the election of trustees will be considered present for purposes of determining the presence of a quorum, but because each of our trustees is running unopposed, it will have no effect with respect to the outcome of the election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29856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8565" cy="762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263525</wp:posOffset>
            </wp:positionV>
            <wp:extent cx="260350" cy="205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0" cy="205105"/>
                    </a:xfrm>
                    <a:prstGeom prst="rect">
                      <a:avLst/>
                    </a:prstGeom>
                    <a:noFill/>
                  </pic:spPr>
                </pic:pic>
              </a:graphicData>
            </a:graphic>
          </wp:anchor>
        </w:drawing>
      </w:r>
    </w:p>
    <w:p>
      <w:pPr>
        <w:spacing w:after="0" w:line="3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 xml:space="preserve">The Board recommends that you vote </w:t>
      </w:r>
      <w:r>
        <w:rPr>
          <w:rFonts w:ascii="Times New Roman" w:cs="Times New Roman" w:eastAsia="Times New Roman" w:hAnsi="Times New Roman"/>
          <w:sz w:val="23"/>
          <w:szCs w:val="23"/>
          <w:color w:val="1D4E8F"/>
        </w:rPr>
        <w:t>“FOR”</w:t>
      </w:r>
      <w:r>
        <w:rPr>
          <w:rFonts w:ascii="Times New Roman" w:cs="Times New Roman" w:eastAsia="Times New Roman" w:hAnsi="Times New Roman"/>
          <w:sz w:val="17"/>
          <w:szCs w:val="17"/>
          <w:color w:val="auto"/>
        </w:rPr>
        <w:t xml:space="preserve"> the election of the three trustee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62985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6"/>
          <w:szCs w:val="16"/>
          <w:color w:val="auto"/>
        </w:rPr>
        <w:t xml:space="preserve">Star Holdings 2026 Proxy Statement | </w:t>
      </w:r>
      <w:r>
        <w:rPr>
          <w:rFonts w:ascii="Times New Roman" w:cs="Times New Roman" w:eastAsia="Times New Roman" w:hAnsi="Times New Roman"/>
          <w:sz w:val="16"/>
          <w:szCs w:val="16"/>
          <w:b w:val="1"/>
          <w:bCs w:val="1"/>
          <w:color w:val="1D4E8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346075</wp:posOffset>
            </wp:positionV>
            <wp:extent cx="630682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-103505</wp:posOffset>
            </wp:positionV>
            <wp:extent cx="60769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Proposal 1</w:t>
      </w:r>
      <w:r>
        <w:rPr>
          <w:rFonts w:ascii="Arial" w:cs="Arial" w:eastAsia="Arial" w:hAnsi="Arial"/>
          <w:sz w:val="18"/>
          <w:szCs w:val="18"/>
          <w:b w:val="1"/>
          <w:bCs w:val="1"/>
          <w:color w:val="A8AAAC"/>
        </w:rPr>
        <w:t xml:space="preserve"> </w:t>
      </w:r>
      <w:r>
        <w:rPr>
          <w:rFonts w:ascii="Times New Roman" w:cs="Times New Roman" w:eastAsia="Times New Roman" w:hAnsi="Times New Roman"/>
          <w:sz w:val="18"/>
          <w:szCs w:val="18"/>
          <w:b w:val="1"/>
          <w:bCs w:val="1"/>
          <w:color w:val="A8AAAC"/>
        </w:rPr>
        <w:t>—</w:t>
      </w:r>
      <w:r>
        <w:rPr>
          <w:rFonts w:ascii="Arial" w:cs="Arial" w:eastAsia="Arial" w:hAnsi="Arial"/>
          <w:sz w:val="18"/>
          <w:szCs w:val="18"/>
          <w:b w:val="1"/>
          <w:bCs w:val="1"/>
          <w:color w:val="A8AAAC"/>
        </w:rPr>
        <w:t xml:space="preserve"> </w:t>
      </w:r>
      <w:r>
        <w:rPr>
          <w:rFonts w:ascii="Times New Roman" w:cs="Times New Roman" w:eastAsia="Times New Roman" w:hAnsi="Times New Roman"/>
          <w:sz w:val="18"/>
          <w:szCs w:val="18"/>
          <w:b w:val="1"/>
          <w:bCs w:val="1"/>
          <w:color w:val="A8AAAC"/>
        </w:rPr>
        <w:t>Election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62985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1D4E8F"/>
        </w:rPr>
        <w:t>Board Composition and Attributes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Some of the key attributes of our trustee nominees and key features of our Board composition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106680</wp:posOffset>
            </wp:positionV>
            <wp:extent cx="3023235" cy="3456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23235" cy="345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4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6820" cy="1587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479"/>
          </w:cols>
          <w:pgMar w:left="980" w:top="35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30682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Board Leadership Structure</w:t>
      </w:r>
    </w:p>
    <w:p>
      <w:pPr>
        <w:spacing w:after="0" w:line="2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determining the appropriate Board leadership structure it believes will be in the best interests of the organization and shareholders, the Board takes into account a variety of factors, including our business strategy and our business circumstances and needs at a given time. Since all of our trustees are independent trustees, our board leadership is also independent. Our Board has designated Nina Matis to serve as the lead trustee.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4E8F"/>
        </w:rPr>
        <w:t>Role of the Lead Trustee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lead trustee is responsible for the following duties:</w:t>
      </w:r>
    </w:p>
    <w:p>
      <w:pPr>
        <w:spacing w:after="0" w:line="140" w:lineRule="exact"/>
        <w:rPr>
          <w:sz w:val="20"/>
          <w:szCs w:val="20"/>
          <w:color w:val="auto"/>
        </w:rPr>
      </w:pPr>
    </w:p>
    <w:p>
      <w:pPr>
        <w:ind w:left="1200" w:hanging="603"/>
        <w:spacing w:after="0"/>
        <w:tabs>
          <w:tab w:leader="none" w:pos="1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Presides at all meetings of the Board and all executive sessions of the independent trustees</w:t>
      </w:r>
    </w:p>
    <w:p>
      <w:pPr>
        <w:spacing w:after="0" w:line="12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Acts as advisor to CEO and direct liaison between CEO and independent trustees</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Plans, reviews, and approves Board meeting agendas and information presented to the Board</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Calls meetings of the trustees as appropriate</w:t>
      </w:r>
    </w:p>
    <w:p>
      <w:pPr>
        <w:spacing w:after="0" w:line="12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Contributes to annual Manager performance review</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Consults with the Nominating and Corporate Governance Committee on the Board’s evaluation process</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Participates in consultations and direct communication with major shareholders and their representatives when appropriate</w:t>
      </w:r>
    </w:p>
    <w:p>
      <w:pPr>
        <w:spacing w:after="0" w:line="12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Performs such other duties as the Board may determine from time to time</w:t>
      </w:r>
    </w:p>
    <w:p>
      <w:pPr>
        <w:spacing w:after="0" w:line="140"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7"/>
          <w:szCs w:val="17"/>
          <w:color w:val="auto"/>
        </w:rPr>
        <w:t>The lead trustee is selected from among the non-employee trustees. In recommending a lead trustee, the Nominating and Corporate Governance Committee considers criteria including:</w:t>
      </w:r>
    </w:p>
    <w:p>
      <w:pPr>
        <w:spacing w:after="0" w:line="98" w:lineRule="exact"/>
        <w:rPr>
          <w:sz w:val="20"/>
          <w:szCs w:val="20"/>
          <w:color w:val="auto"/>
        </w:rPr>
      </w:pPr>
    </w:p>
    <w:p>
      <w:pPr>
        <w:ind w:left="1200" w:hanging="603"/>
        <w:spacing w:after="0"/>
        <w:tabs>
          <w:tab w:leader="none" w:pos="120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Tenure</w:t>
      </w:r>
    </w:p>
    <w:p>
      <w:pPr>
        <w:spacing w:after="0" w:line="12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Previous service in Board leadership</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Background and experience</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Participation in and contributions to activities of the Board</w:t>
      </w:r>
    </w:p>
    <w:p>
      <w:pPr>
        <w:spacing w:after="0" w:line="12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Ability and willingness to commit adequate time to the role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Board Refreshment</w:t>
      </w:r>
    </w:p>
    <w:p>
      <w:pPr>
        <w:spacing w:after="0" w:line="21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The Nominating and Corporate Governance Committee believes it is important to have a mix of trustees with appropriate experience and an understanding of our business strategy. The Nominating and Corporate Governance committee assesses the size and composition of our Board to help ensure that the Board functions effectively given our business strategy and the size of our company. The Nominating and Corporate Governance Committee believes the current size and balance of tenure, backgrounds and skills of the Board (see “Board Composition and Attributes” above) are appropriate considering the need for our trustees to communicate and act efficiently, the time commitment required of our trustees, the nature of our strategy and the size of our company.</w:t>
      </w:r>
    </w:p>
    <w:p>
      <w:pPr>
        <w:spacing w:after="0" w:line="11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An overriding principle is that all nominations to the Board should be based on merit and suitability of the candidate. Subject to those considerations, the Board recognizes the need to consider trustee candidates from different backgrounds.</w:t>
      </w:r>
    </w:p>
    <w:p>
      <w:pPr>
        <w:spacing w:after="0" w:line="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As noted above in “Trustee Nominations and Qualifications”, our Board has committed that, when considering potential additions to our Board, the recruitment plan shall adequately ensure consideration of a candidate pool comprised of individuals from a variety of backgrounds.</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Star Holdings 2026 Proxy Statement | </w:t>
      </w:r>
      <w:r>
        <w:rPr>
          <w:rFonts w:ascii="Times New Roman" w:cs="Times New Roman" w:eastAsia="Times New Roman" w:hAnsi="Times New Roman"/>
          <w:sz w:val="17"/>
          <w:szCs w:val="17"/>
          <w:b w:val="1"/>
          <w:bCs w:val="1"/>
          <w:color w:val="1D4E8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630682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68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607695"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Trustee Independence</w:t>
      </w:r>
    </w:p>
    <w:p>
      <w:pPr>
        <w:spacing w:after="0" w:line="2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Our Board has adopted independence standards that mirror the criteria specified by applicable laws and regulations of the SEC and the Listing Rules of Nasdaq. Our Board has determined that all of our current trustees are independent. Specifically, each of the following trustee nominees qualifies as independent under Nasdaq rules and satisfies our independence standards: Clifford De Souza, Richard Lieb and Nina Matis. In determining the independence of our trustees, our Board considered all transactions in which we and any trustee had any interest, including those discussed under “Certain Relationships and Related Transactions”.</w:t>
      </w:r>
    </w:p>
    <w:p>
      <w:pPr>
        <w:spacing w:after="0" w:line="1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No arrangement or understanding exists between any trustee and any other person or entity pursuant to which any trustee was, or is, to be selected as a trustee or nominee.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Nominations by Shareholders</w:t>
      </w:r>
    </w:p>
    <w:p>
      <w:pPr>
        <w:spacing w:after="0" w:line="21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color w:val="auto"/>
        </w:rPr>
        <w:t>The Nominating and Corporate Governance Committee is responsible for recruiting new trustees. To contribute to that process, the Nominating and Corporate Governance Committee may solicit and consider suggestions and recommendations regarding possible nominees from current trustees, management, or shareholders. In addition, we may retain professional search firms or consultants to help us identify potential trustees with desired skills and disciplines.</w:t>
      </w:r>
    </w:p>
    <w:p>
      <w:pPr>
        <w:spacing w:after="0" w:line="9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7"/>
          <w:szCs w:val="17"/>
          <w:color w:val="auto"/>
        </w:rPr>
        <w:t>Shareholder recommendations and nominations for election to the Board should be sent to the attention of our Corporate Secretary at the address provided under “Communications with the Board.” This correspondence should describe the candidate’s qualifications and include the candidate’s written statement of willingness to serve as a trustee. Shareholders also may nominate candidates directly by following the procedures specified in our bylaws for nominations and other shareholder proposals. See “When are shareholder proposals due for the 2027 annual meeting?” in this proxy statement.</w:t>
      </w:r>
    </w:p>
    <w:p>
      <w:pPr>
        <w:spacing w:after="0" w:line="11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Candidates recommended or nominated by shareholders will be considered in the same manner and using the same criteria as candidates identified by the Nominating and Corporate Governance Committee.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Shareholder Engagement</w:t>
      </w:r>
    </w:p>
    <w:p>
      <w:pPr>
        <w:spacing w:after="0" w:line="2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Shareholder engagement is an important element of management’s and the Board’s ongoing review and analysis of the Company’s business strategy, programs and policies. Shareholder engagement may involve both the Company’s executive management team, senior staff of our Manager and the Board. Such individuals and the Board may engage with shareholders to discuss strategy, performance and governance related topics. These discussions with our investors provide valuable feedback that is shared with the full Board and management team and ultimately informs the Board’s decision-making processes. Our engagement takes several forms, including individual meetings or calls and other communications. The priority topic for our shareholder engagement this past year has been the strategic rationale around monetization of our assets, liquidity and risk management.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Board’s Role in Risk Oversight</w:t>
      </w:r>
    </w:p>
    <w:p>
      <w:pPr>
        <w:spacing w:after="0" w:line="21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color w:val="auto"/>
        </w:rPr>
        <w:t>As with every business, we confront and must manage various risks, including risks related to our assets and business strategy. Pursuant to our charter and bylaws and the Maryland General Corporation Law, our business and affairs are managed under the direction of our board of trustees. Our Manager is responsible for the day-to-day management of risks we face, while our board of trustees, as a whole and through its committees, has responsibility for establishing broad corporate policies for our overall performance and for the direction and oversight of our risk management. Our Manager has implemented internal processes and an internal control environment designed to identify, manage, and mitigate material risks and to keep the Board and its committees informed with respect to risk management matters. The committees of our Board assist the full Board in risk oversight by addressing specific matters within the purview of each committee. The Board and its committees receive regular reports from our Manager, members of senior management, outside auditors and internal audit firm on areas of material risk</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 including operational, IT, ESG compliance, financial, legal, regulatory, strategic and reputational risk</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 in order to review and understand risk identification, risk management and risk mitigation strategies.</w:t>
      </w:r>
    </w:p>
    <w:p>
      <w:pPr>
        <w:spacing w:after="0" w:line="12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While each committee is responsible for evaluating certain risks and overseeing the management of those risks, our full Board keeps itself regularly informed regarding such risks through regular committee reports, discussions with the Manager and otherwise. We are confident the leadership structure of our Board supports effective and efficient risk management and oversight.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6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8AAA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6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color w:val="auto"/>
        </w:rPr>
        <w:t>The Board and our Manager are focused on risk management issues pertaining to the information systems and technology we use, including cybersecurity. Our Manager has implemented initiatives intended to identify and, if necessary, remediate weaknesses in our information security; enhance internal cyber awareness training programs; and improve access to key information for the purpose of promoting operational efficiencies in data management including evaluating the use of artificial intelligence to enhance information gathering and analysis. Representatives of the Manager report regularly to the Board on the status of these initiatives. See “Cybersecurity” at page 9.</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Board Evaluation Process</w:t>
      </w:r>
    </w:p>
    <w:p>
      <w:pPr>
        <w:spacing w:after="0" w:line="21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Our trustees engage in an annual assessment of the effectiveness of the Board, as a whole, and its committees. The assessment is led by a third party and covers a number of topics including:</w:t>
      </w:r>
    </w:p>
    <w:p>
      <w:pPr>
        <w:spacing w:after="0" w:line="98" w:lineRule="exact"/>
        <w:rPr>
          <w:sz w:val="20"/>
          <w:szCs w:val="20"/>
          <w:color w:val="auto"/>
        </w:rPr>
      </w:pPr>
    </w:p>
    <w:p>
      <w:pPr>
        <w:ind w:left="1200" w:right="140" w:hanging="603"/>
        <w:spacing w:after="0" w:line="268" w:lineRule="auto"/>
        <w:tabs>
          <w:tab w:leader="none" w:pos="1200" w:val="left"/>
        </w:tabs>
        <w:numPr>
          <w:ilvl w:val="0"/>
          <w:numId w:val="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involvement of the Board in issues material to the Company, including the execution of its business strategy and the status of its liquidity arrangements</w:t>
      </w:r>
    </w:p>
    <w:p>
      <w:pPr>
        <w:spacing w:after="0" w:line="9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Board and committee structure and composition</w:t>
      </w:r>
    </w:p>
    <w:p>
      <w:pPr>
        <w:spacing w:after="0" w:line="12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Communications between management, the Board, and its committees</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Information furnished to the Board</w:t>
      </w:r>
    </w:p>
    <w:p>
      <w:pPr>
        <w:spacing w:after="0" w:line="127" w:lineRule="exact"/>
        <w:rPr>
          <w:rFonts w:ascii="MS PGothic" w:cs="MS PGothic" w:eastAsia="MS PGothic" w:hAnsi="MS PGothic"/>
          <w:sz w:val="17"/>
          <w:szCs w:val="17"/>
          <w:color w:val="auto"/>
        </w:rPr>
      </w:pPr>
    </w:p>
    <w:p>
      <w:pPr>
        <w:ind w:left="1200" w:hanging="603"/>
        <w:spacing w:after="0"/>
        <w:tabs>
          <w:tab w:leader="none" w:pos="1200" w:val="left"/>
        </w:tabs>
        <w:numPr>
          <w:ilvl w:val="0"/>
          <w:numId w:val="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Board’s relationship with management</w:t>
      </w:r>
    </w:p>
    <w:p>
      <w:pPr>
        <w:spacing w:after="0" w:line="140" w:lineRule="exact"/>
        <w:rPr>
          <w:rFonts w:ascii="MS PGothic" w:cs="MS PGothic" w:eastAsia="MS PGothic" w:hAnsi="MS PGothic"/>
          <w:sz w:val="17"/>
          <w:szCs w:val="17"/>
          <w:color w:val="auto"/>
        </w:rPr>
      </w:pPr>
    </w:p>
    <w:p>
      <w:pPr>
        <w:ind w:left="1200" w:hanging="603"/>
        <w:spacing w:after="0"/>
        <w:tabs>
          <w:tab w:leader="none" w:pos="1200" w:val="left"/>
        </w:tabs>
        <w:numPr>
          <w:ilvl w:val="0"/>
          <w:numId w:val="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effectiveness of the Board and its committees</w:t>
      </w:r>
    </w:p>
    <w:p>
      <w:pPr>
        <w:spacing w:after="0" w:line="14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The Board utilizes the results of this process, as well as other discussions it holds periodically in executive sessions and otherwise, to help refine and improve the operations of the Board and its committees. For 2025, the annual assessment occurred during the first quarter of 2026 and results were discussed by our Board in executive session. The annual assessment and the Board's other periodic discussions have resulted in enhancements in the reporting provided by the Manager to the Board.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Board Meetings Held During 2025</w:t>
      </w:r>
    </w:p>
    <w:p>
      <w:pPr>
        <w:spacing w:after="0" w:line="21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During 2025, our Board held 8 meetings, either in person or by telephone conference call. Trustees are expected to attend a majority of the Board meetings. All trustees attended at least 75% of the aggregate of (i) the total number of meetings of our Board held during the period in which they were members of our Board of Trustees, and (ii) the total number of meetings of the Committees of our Board on which such trustees served and that were held during the period in which they served. The Board also acts by unanimous written consent in appropriate circumstances. All trustees are urged to attend annual meetings of shareholders and two out of three of our trustees were present at the 2025 annual meeting of shareholders.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Executive Sessions</w:t>
      </w:r>
    </w:p>
    <w:p>
      <w:pPr>
        <w:spacing w:after="0" w:line="218"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Trustees meet in executive session at least quarterly without management present. The Audit Committee also meets in executive session at least quarterly, without management present, with representatives of our independent registered public accounting firm and with representatives of the accounting firm engaged to assist us in the preparation of our documentation, testing, and evaluation of internal controls over financial reporting.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Service on Other Boards</w:t>
      </w:r>
    </w:p>
    <w:p>
      <w:pPr>
        <w:spacing w:after="0" w:line="218"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17"/>
          <w:szCs w:val="17"/>
          <w:color w:val="auto"/>
        </w:rPr>
        <w:t>In view of the commitment of time and effort that is required of a trustee of a public company, our Board has established a guideline that its non-employee trustees should not serve on the boards of more than four other public companies, including the Company, and that our Chief Executive Officer should not serve on the boards of more than two other public companies.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Shareholder Rights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not adopted a shareholder rights plan, commonly known as a “poison pill.”</w:t>
      </w:r>
    </w:p>
    <w:p>
      <w:pPr>
        <w:spacing w:after="0" w:line="14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We have one class of common shares authorized and outstanding. In addition, our board of trustees is not staggered, with each of our trustees subject to re-election annually.</w:t>
      </w:r>
    </w:p>
    <w:p>
      <w:pPr>
        <w:spacing w:after="0" w:line="34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6"/>
          <w:szCs w:val="16"/>
          <w:color w:val="auto"/>
        </w:rPr>
        <w:t xml:space="preserve">Star Holdings 2026 Proxy Statement | </w:t>
      </w:r>
      <w:r>
        <w:rPr>
          <w:rFonts w:ascii="Times New Roman" w:cs="Times New Roman" w:eastAsia="Times New Roman" w:hAnsi="Times New Roman"/>
          <w:sz w:val="16"/>
          <w:szCs w:val="16"/>
          <w:b w:val="1"/>
          <w:bCs w:val="1"/>
          <w:color w:val="1D4E8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346075</wp:posOffset>
            </wp:positionV>
            <wp:extent cx="63068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-103505</wp:posOffset>
            </wp:positionV>
            <wp:extent cx="607695" cy="110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695" cy="11049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Governing Documents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4E8F"/>
        </w:rPr>
        <w:t>Corporate Governance Guidelines</w:t>
      </w:r>
    </w:p>
    <w:p>
      <w:pPr>
        <w:spacing w:after="0" w:line="1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Our Board has approved a set of corporate governance guidelines to assist the Board in the exercise of its responsibilities and to serve the interests of the Company and its shareholders. The Board reviews these guidelines and other aspects of our governance periodically as needed. A copy of the corporate governance guidelines is available on the Company’s website at </w:t>
      </w:r>
      <w:r>
        <w:rPr>
          <w:rFonts w:ascii="Times New Roman" w:cs="Times New Roman" w:eastAsia="Times New Roman" w:hAnsi="Times New Roman"/>
          <w:sz w:val="17"/>
          <w:szCs w:val="17"/>
          <w:color w:val="1D4E8F"/>
        </w:rPr>
        <w:t>www.starholdingsco.com</w:t>
      </w:r>
      <w:r>
        <w:rPr>
          <w:rFonts w:ascii="Times New Roman" w:cs="Times New Roman" w:eastAsia="Times New Roman" w:hAnsi="Times New Roman"/>
          <w:sz w:val="17"/>
          <w:szCs w:val="17"/>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4E8F"/>
        </w:rPr>
        <w:t>Code of Ethics and Conduct</w:t>
      </w:r>
    </w:p>
    <w:p>
      <w:pPr>
        <w:spacing w:after="0" w:line="16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 xml:space="preserve">Star Holdings has adopted a Code of Ethics and Conduct that applies to the Company’s trustees, officers and employees, a copy of which is available on the Company’s website at </w:t>
      </w:r>
      <w:r>
        <w:rPr>
          <w:rFonts w:ascii="Times New Roman" w:cs="Times New Roman" w:eastAsia="Times New Roman" w:hAnsi="Times New Roman"/>
          <w:sz w:val="17"/>
          <w:szCs w:val="17"/>
          <w:color w:val="1D4E8F"/>
        </w:rPr>
        <w:t>www.starholdingsco.com</w:t>
      </w:r>
      <w:r>
        <w:rPr>
          <w:rFonts w:ascii="Times New Roman" w:cs="Times New Roman" w:eastAsia="Times New Roman" w:hAnsi="Times New Roman"/>
          <w:sz w:val="17"/>
          <w:szCs w:val="17"/>
          <w:color w:val="auto"/>
        </w:rPr>
        <w:t>.</w:t>
      </w:r>
    </w:p>
    <w:p>
      <w:pPr>
        <w:spacing w:after="0" w:line="8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color w:val="auto"/>
        </w:rPr>
        <w:t>The Code of Ethics and Conduct sets forth the principles of conduct and ethics to be followed by our trustees, officers, and employees. The purpose of the Code of Ethics and Conduct is to promote honest and ethical conduct; full, fair, accurate, timely and understandable disclosure; compliance with applicable governmental laws, rules and regulations; prompt internal reporting of violations of law or the Code of Ethics and Conduct; accountability for adherence to the Code of Ethics and Conduct; consistent enforcement of the Code of Ethics and Conduct; protection for persons reporting any questionable behavior; protection of the Company’s legitimate business interests; and confidentiality of information entrusted to our trustees, officers and employees. Trustees, officers and employees are required to acknowledge that they have received and will comply with the Code of Ethics and Conduct. The Company will post on its website all disclosures that are required under the Securities Exchange Act of 1934, as amended (the “Exchange Act”) or Nasdaq listing standards concerning any amendments to, or waivers from, any provision of the Code of Conduct.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Disclosure Committee</w:t>
      </w:r>
    </w:p>
    <w:p>
      <w:pPr>
        <w:spacing w:after="0" w:line="21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Our Disclosure Committee is made up of members of our executive management and senior staff of our Manager. The purpose of the Disclosure Committee is to oversee our system of disclosure controls and to assist and advise the Chief Executive Officer and Chief Financial Officer in making the required certifications in SEC reports. The Disclosure Committee was established to bring together on a regular basis representatives from our core business lines and employees of our Manager involved in the preparation of our financial statements. These individuals meet quarterly, or otherwise as needed, to discuss any issues or matters they believe should be considered for disclosure in our public SEC filings, and to review our draft periodic SEC reports before they are filed. The Disclosure Committee reports to our Chief Executive Officer and, as appropriate, to our Audit Committee.</w:t>
      </w:r>
    </w:p>
    <w:p>
      <w:pPr>
        <w:spacing w:after="0" w:line="9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7"/>
          <w:szCs w:val="17"/>
          <w:color w:val="auto"/>
        </w:rPr>
        <w:t>The Disclosure Committee has adopted a written charter to memorialize the committee’s purpose and procedures. A copy of the charter will be provided, without charge, to any shareholder who requests 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Communications with the Board</w:t>
      </w:r>
    </w:p>
    <w:p>
      <w:pPr>
        <w:spacing w:after="0" w:line="21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Interested parties, including shareholders, are welcome to communicate with our lead trustee, the other independent Board members or the Chair of any committee of the Board, by e-mail or regular mail. All communications should be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29856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404040"/>
        </w:rPr>
        <w:t>By e-mail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220980" cy="228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0980" cy="22860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7"/>
          <w:szCs w:val="17"/>
          <w:color w:val="404040"/>
        </w:rPr>
        <w:t>CorporateSecretary@starholdingsco.com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29856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404040"/>
        </w:rPr>
        <w:t>By regular mail, addressed to the particular trustee or trustees desired,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220980" cy="228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0980" cy="228600"/>
                    </a:xfrm>
                    <a:prstGeom prst="rect">
                      <a:avLst/>
                    </a:prstGeom>
                    <a:noFill/>
                  </pic:spPr>
                </pic:pic>
              </a:graphicData>
            </a:graphic>
          </wp:anchor>
        </w:drawing>
      </w:r>
    </w:p>
    <w:p>
      <w:pPr>
        <w:spacing w:after="0" w:line="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404040"/>
        </w:rPr>
        <w:t>Star Holdings</w:t>
      </w:r>
    </w:p>
    <w:p>
      <w:pPr>
        <w:spacing w:after="0" w:line="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404040"/>
        </w:rPr>
        <w:t>c/o Corporate Secretary</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404040"/>
        </w:rPr>
        <w:t>1114 Avenue of the Americas</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404040"/>
        </w:rPr>
        <w:t>39th Floor</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404040"/>
        </w:rPr>
        <w:t>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wp:posOffset>
            </wp:positionV>
            <wp:extent cx="62985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11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Our Corporate Secretary will review each communication directed to the Board or individual trustees. These officers will forward all appropriate communications received, or a summary of such communications, to the appropriate Board member(s). Our Corporate Secretary has the authority to disregard any inappropriate communications or to take other appropriate actions with respect to inappropriate communications including abusive, repetitive, or in bad taste communications or communications that present safety or security concerns. Communications we receive that relate to accounting, internal accounting controls or auditing matters will be referred to the Audit Committee unless the communication is directed otherwise. You may communicate anonymously and/or confidentially.</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8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880"/>
          </w:cols>
          <w:pgMar w:left="980" w:top="359" w:right="10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8AAA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Environmental, Social &amp; Governance (“ESG”) Practices and Programs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and our Manager recognize the importance of ESG issues and incorporate consideration of ESG issues into our decision-making processes.</w:t>
      </w:r>
    </w:p>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 xml:space="preserve">Our Manager’s Corporate Sustainability Report (CSR) is published annually and is found on its website at </w:t>
      </w:r>
      <w:r>
        <w:rPr>
          <w:rFonts w:ascii="Times New Roman" w:cs="Times New Roman" w:eastAsia="Times New Roman" w:hAnsi="Times New Roman"/>
          <w:sz w:val="17"/>
          <w:szCs w:val="17"/>
          <w:color w:val="1D4E8F"/>
        </w:rPr>
        <w:t>https://www.safeholdinc.com/investors/esg/</w:t>
      </w:r>
      <w:r>
        <w:rPr>
          <w:rFonts w:ascii="Times New Roman" w:cs="Times New Roman" w:eastAsia="Times New Roman" w:hAnsi="Times New Roman"/>
          <w:sz w:val="17"/>
          <w:szCs w:val="17"/>
          <w:color w:val="404040"/>
        </w:rPr>
        <w:t>.</w:t>
      </w:r>
      <w:r>
        <w:rPr>
          <w:rFonts w:ascii="Times New Roman" w:cs="Times New Roman" w:eastAsia="Times New Roman" w:hAnsi="Times New Roman"/>
          <w:sz w:val="17"/>
          <w:szCs w:val="17"/>
          <w:color w:val="1D4E8F"/>
        </w:rPr>
        <w:t xml:space="preserve"> </w:t>
      </w:r>
      <w:r>
        <w:rPr>
          <w:rFonts w:ascii="Times New Roman" w:cs="Times New Roman" w:eastAsia="Times New Roman" w:hAnsi="Times New Roman"/>
          <w:sz w:val="17"/>
          <w:szCs w:val="17"/>
          <w:color w:val="000000"/>
        </w:rPr>
        <w:t>The information contained on, or accessible from, our Manager’s website does not form a part of and is</w:t>
      </w:r>
      <w:r>
        <w:rPr>
          <w:rFonts w:ascii="Times New Roman" w:cs="Times New Roman" w:eastAsia="Times New Roman" w:hAnsi="Times New Roman"/>
          <w:sz w:val="17"/>
          <w:szCs w:val="17"/>
          <w:color w:val="1D4E8F"/>
        </w:rPr>
        <w:t xml:space="preserve"> </w:t>
      </w:r>
      <w:r>
        <w:rPr>
          <w:rFonts w:ascii="Times New Roman" w:cs="Times New Roman" w:eastAsia="Times New Roman" w:hAnsi="Times New Roman"/>
          <w:sz w:val="17"/>
          <w:szCs w:val="17"/>
          <w:color w:val="000000"/>
        </w:rPr>
        <w:t>not incorporated by reference into this Proxy Statement.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Cybersecurity</w:t>
      </w:r>
    </w:p>
    <w:p>
      <w:pPr>
        <w:spacing w:after="0" w:line="2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242424"/>
        </w:rPr>
        <w:t>Our Board exercises its oversight of cybersecurity risk management primarily through the Audit Committee. Our Manager provides periodic reports to the Audit Committee, at regular Audit Committee meetings throughout the year, on relevant cybersecurity issues. The Manager has not experienced any material cybersecurity or information security breaches related to the Company and, accordingly, we have not incurred any expenses due to information security breach penalties or settlements. We maintain cyber liability insurance coverage to mitigate against risks of cyber attacks and other information security breaches</w:t>
      </w:r>
      <w:r>
        <w:rPr>
          <w:rFonts w:ascii="Times New Roman" w:cs="Times New Roman" w:eastAsia="Times New Roman" w:hAnsi="Times New Roman"/>
          <w:sz w:val="17"/>
          <w:szCs w:val="17"/>
          <w:color w:val="000000"/>
        </w:rPr>
        <w:t>.</w:t>
      </w:r>
    </w:p>
    <w:p>
      <w:pPr>
        <w:spacing w:after="0" w:line="10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Our Manager is in the midst of completing a multi-year phased cyber security and information technology program, from which we expect to benefit because we rely on the Manager for the implementation of our cyber security policies and programs. The initial efforts targeted stabilizing the Manager's infrastructure, commencing data migration to the Cloud and defining its capability roadmap. More recently, the Manager is focused on modernizing its overall technology platform. The Manager's key initiatives include:</w:t>
      </w:r>
    </w:p>
    <w:p>
      <w:pPr>
        <w:spacing w:after="0" w:line="109" w:lineRule="exact"/>
        <w:rPr>
          <w:sz w:val="20"/>
          <w:szCs w:val="20"/>
          <w:color w:val="auto"/>
        </w:rPr>
      </w:pPr>
    </w:p>
    <w:p>
      <w:pPr>
        <w:ind w:left="780" w:right="40" w:hanging="381"/>
        <w:spacing w:after="0" w:line="249" w:lineRule="auto"/>
        <w:tabs>
          <w:tab w:leader="none" w:pos="780" w:val="left"/>
        </w:tabs>
        <w:numPr>
          <w:ilvl w:val="1"/>
          <w:numId w:val="8"/>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Improving cybersecurity</w:t>
      </w:r>
      <w:r>
        <w:rPr>
          <w:rFonts w:ascii="Times New Roman" w:cs="Times New Roman" w:eastAsia="Times New Roman" w:hAnsi="Times New Roman"/>
          <w:sz w:val="17"/>
          <w:szCs w:val="17"/>
          <w:color w:val="auto"/>
        </w:rPr>
        <w:t>. The Manager designs and assesses out program based on the NIST cybersecurity framework and continues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 periodic cyber awareness training for its workforce, including those who provide services to us. The Manager's incident response plan documents its action plans to address cybersecurity incidents that may affect us, such as ransomware. Our Manager performs simulated phishing tests monthly and simulated ransomware attacks in alternate years. Our Manager is upgrading the computer operating system in an effort to further strengthen its cybersecurity program. Our Manager is updating its policies/procedures to improve clarity around acceptable use of firm’s electronic and digital asset.</w:t>
      </w:r>
    </w:p>
    <w:p>
      <w:pPr>
        <w:spacing w:after="0" w:line="113" w:lineRule="exact"/>
        <w:rPr>
          <w:rFonts w:ascii="MS PGothic" w:cs="MS PGothic" w:eastAsia="MS PGothic" w:hAnsi="MS PGothic"/>
          <w:sz w:val="17"/>
          <w:szCs w:val="17"/>
          <w:color w:val="auto"/>
        </w:rPr>
      </w:pPr>
    </w:p>
    <w:p>
      <w:pPr>
        <w:ind w:left="780" w:right="220" w:hanging="394"/>
        <w:spacing w:after="0" w:line="281" w:lineRule="auto"/>
        <w:tabs>
          <w:tab w:leader="none" w:pos="780" w:val="left"/>
        </w:tabs>
        <w:numPr>
          <w:ilvl w:val="0"/>
          <w:numId w:val="8"/>
        </w:numPr>
        <w:rPr>
          <w:rFonts w:ascii="MS PGothic" w:cs="MS PGothic" w:eastAsia="MS PGothic" w:hAnsi="MS PGothic"/>
          <w:sz w:val="16"/>
          <w:szCs w:val="16"/>
          <w:color w:val="auto"/>
        </w:rPr>
      </w:pPr>
      <w:r>
        <w:rPr>
          <w:rFonts w:ascii="Times New Roman" w:cs="Times New Roman" w:eastAsia="Times New Roman" w:hAnsi="Times New Roman"/>
          <w:sz w:val="16"/>
          <w:szCs w:val="16"/>
          <w:i w:val="1"/>
          <w:iCs w:val="1"/>
          <w:color w:val="auto"/>
        </w:rPr>
        <w:t xml:space="preserve">Optimizing the cloud environment. </w:t>
      </w:r>
      <w:r>
        <w:rPr>
          <w:rFonts w:ascii="Times New Roman" w:cs="Times New Roman" w:eastAsia="Times New Roman" w:hAnsi="Times New Roman"/>
          <w:sz w:val="16"/>
          <w:szCs w:val="16"/>
          <w:color w:val="auto"/>
        </w:rPr>
        <w:t>The Manager is a fully Cloud-based firm which allows it to take advantage of Cloud providers’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security innovations to help protect against cyber-attacks. The Manager engages an outside security platform to monitor and control its Cloud infrastructure. Employees of the Manager working from home are required to connect through a VPN (virtual private network).</w:t>
      </w:r>
    </w:p>
    <w:p>
      <w:pPr>
        <w:spacing w:after="0" w:line="87" w:lineRule="exact"/>
        <w:rPr>
          <w:rFonts w:ascii="MS PGothic" w:cs="MS PGothic" w:eastAsia="MS PGothic" w:hAnsi="MS PGothic"/>
          <w:sz w:val="16"/>
          <w:szCs w:val="16"/>
          <w:color w:val="auto"/>
        </w:rPr>
      </w:pPr>
    </w:p>
    <w:p>
      <w:pPr>
        <w:ind w:left="780" w:right="60" w:hanging="394"/>
        <w:spacing w:after="0" w:line="271" w:lineRule="auto"/>
        <w:tabs>
          <w:tab w:leader="none" w:pos="780" w:val="left"/>
        </w:tabs>
        <w:numPr>
          <w:ilvl w:val="0"/>
          <w:numId w:val="8"/>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 xml:space="preserve">Integrating Artificial Intelligence into our operations. </w:t>
      </w:r>
      <w:r>
        <w:rPr>
          <w:rFonts w:ascii="Times New Roman" w:cs="Times New Roman" w:eastAsia="Times New Roman" w:hAnsi="Times New Roman"/>
          <w:sz w:val="17"/>
          <w:szCs w:val="17"/>
          <w:color w:val="auto"/>
        </w:rPr>
        <w:t>The Manager's AI initiatives are aimed at not only improving productivity but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enhancing cyber security using advanced algorithms to detect fraud, malware and phishing.</w:t>
      </w:r>
    </w:p>
    <w:p>
      <w:pPr>
        <w:spacing w:after="0" w:line="93" w:lineRule="exact"/>
        <w:rPr>
          <w:rFonts w:ascii="MS PGothic" w:cs="MS PGothic" w:eastAsia="MS PGothic" w:hAnsi="MS PGothic"/>
          <w:sz w:val="17"/>
          <w:szCs w:val="17"/>
          <w:color w:val="auto"/>
        </w:rPr>
      </w:pPr>
    </w:p>
    <w:p>
      <w:pPr>
        <w:ind w:left="780" w:hanging="394"/>
        <w:spacing w:after="0"/>
        <w:tabs>
          <w:tab w:leader="none" w:pos="780" w:val="left"/>
        </w:tabs>
        <w:numPr>
          <w:ilvl w:val="0"/>
          <w:numId w:val="8"/>
        </w:numPr>
        <w:rPr>
          <w:rFonts w:ascii="MS PGothic" w:cs="MS PGothic" w:eastAsia="MS PGothic" w:hAnsi="MS PGothic"/>
          <w:sz w:val="16"/>
          <w:szCs w:val="16"/>
          <w:color w:val="auto"/>
        </w:rPr>
      </w:pPr>
      <w:r>
        <w:rPr>
          <w:rFonts w:ascii="Times New Roman" w:cs="Times New Roman" w:eastAsia="Times New Roman" w:hAnsi="Times New Roman"/>
          <w:sz w:val="16"/>
          <w:szCs w:val="16"/>
          <w:i w:val="1"/>
          <w:iCs w:val="1"/>
          <w:color w:val="auto"/>
        </w:rPr>
        <w:t xml:space="preserve">Enhancing data management. </w:t>
      </w:r>
      <w:r>
        <w:rPr>
          <w:rFonts w:ascii="Times New Roman" w:cs="Times New Roman" w:eastAsia="Times New Roman" w:hAnsi="Times New Roman"/>
          <w:sz w:val="16"/>
          <w:szCs w:val="16"/>
          <w:color w:val="auto"/>
        </w:rPr>
        <w:t>The Manager's internally developed data warehouse supports our reporting and business intelligence needs.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Whistleblower Policy</w:t>
      </w:r>
    </w:p>
    <w:p>
      <w:pPr>
        <w:spacing w:after="0" w:line="218"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We are committed to full and accurate financial disclosure in compliance with applicable laws and regulations. Our Audit Committee has adopted policies and procedures governing the receipt, retention and treatment of complaints regarding our accounting, internal accounting controls or auditing matters, and to protect the confidential anonymous reporting of employee concerns regarding accounting or auditing matters.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6"/>
          <w:szCs w:val="16"/>
          <w:color w:val="auto"/>
        </w:rPr>
        <w:t xml:space="preserve">Star Holdings 2026 Proxy Statement | </w:t>
      </w:r>
      <w:r>
        <w:rPr>
          <w:rFonts w:ascii="Times New Roman" w:cs="Times New Roman" w:eastAsia="Times New Roman" w:hAnsi="Times New Roman"/>
          <w:sz w:val="16"/>
          <w:szCs w:val="16"/>
          <w:b w:val="1"/>
          <w:bCs w:val="1"/>
          <w:color w:val="1D4E8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346075</wp:posOffset>
            </wp:positionV>
            <wp:extent cx="630682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68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-103505</wp:posOffset>
            </wp:positionV>
            <wp:extent cx="607695"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30682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239"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7"/>
          <w:szCs w:val="17"/>
          <w:color w:val="auto"/>
        </w:rPr>
        <w:t>Our Board has three standing committees</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Audit, Compensation and Nominating and Corporate Governance—</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 xml:space="preserve">made up entirely of independent trustees. The Audit, Compensation, and Nominating and Corporate Governance Committees have adopted charters that meet applicable standards prescribed by Nasdaq. These charters are available on our website at </w:t>
      </w:r>
      <w:r>
        <w:rPr>
          <w:rFonts w:ascii="Times New Roman" w:cs="Times New Roman" w:eastAsia="Times New Roman" w:hAnsi="Times New Roman"/>
          <w:sz w:val="17"/>
          <w:szCs w:val="17"/>
          <w:color w:val="1D4E8F"/>
        </w:rPr>
        <w:t>https://www.starholdingsco.com/corporate-governance/governance-overview</w:t>
      </w:r>
      <w:r>
        <w:rPr>
          <w:rFonts w:ascii="Times New Roman" w:cs="Times New Roman" w:eastAsia="Times New Roman" w:hAnsi="Times New Roman"/>
          <w:sz w:val="17"/>
          <w:szCs w:val="17"/>
          <w:color w:val="auto"/>
        </w:rPr>
        <w:t>, and will be provided in print, without charge, to any shareholder who requests copies.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Board appoints special committees from time to time, as necessary.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trustees serve on each committee as follows: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Audit Committee</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Clifford De Souza (Chair)</w:t>
      </w:r>
    </w:p>
    <w:p>
      <w:pPr>
        <w:spacing w:after="0" w:line="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Richard Lieb</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Nina Matis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Compensation Committee</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Nina Matis (Chair)</w:t>
      </w:r>
    </w:p>
    <w:p>
      <w:pPr>
        <w:spacing w:after="0" w:line="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Clifford De Souza</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Richard Lieb</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Nominating and Corporate Governance Committee</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Richard Lieb (Chair)</w:t>
      </w:r>
    </w:p>
    <w:p>
      <w:pPr>
        <w:spacing w:after="0" w:line="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Clifford De Souza</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Nina Matis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u w:val="single" w:color="auto"/>
          <w:color w:val="auto"/>
        </w:rPr>
        <w:t>Audit Committee</w:t>
      </w:r>
      <w:r>
        <w:rPr>
          <w:rFonts w:ascii="Times New Roman" w:cs="Times New Roman" w:eastAsia="Times New Roman" w:hAnsi="Times New Roman"/>
          <w:sz w:val="17"/>
          <w:szCs w:val="17"/>
          <w:color w:val="auto"/>
        </w:rPr>
        <w:t xml:space="preserve"> is responsible, among other things, for the following matters:</w:t>
      </w:r>
    </w:p>
    <w:p>
      <w:pPr>
        <w:spacing w:after="0" w:line="140" w:lineRule="exact"/>
        <w:rPr>
          <w:sz w:val="20"/>
          <w:szCs w:val="20"/>
          <w:color w:val="auto"/>
        </w:rPr>
      </w:pPr>
    </w:p>
    <w:p>
      <w:pPr>
        <w:ind w:left="800" w:hanging="401"/>
        <w:spacing w:after="0"/>
        <w:tabs>
          <w:tab w:leader="none" w:pos="800" w:val="left"/>
        </w:tabs>
        <w:numPr>
          <w:ilvl w:val="1"/>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Appoints, compensates, retains, and oversees the work of our independent registered public accounting firm</w:t>
      </w:r>
    </w:p>
    <w:p>
      <w:pPr>
        <w:spacing w:after="0" w:line="140" w:lineRule="exact"/>
        <w:rPr>
          <w:rFonts w:ascii="MS PGothic" w:cs="MS PGothic" w:eastAsia="MS PGothic" w:hAnsi="MS PGothic"/>
          <w:sz w:val="17"/>
          <w:szCs w:val="17"/>
          <w:color w:val="auto"/>
        </w:rPr>
      </w:pPr>
    </w:p>
    <w:p>
      <w:pPr>
        <w:ind w:left="780" w:right="180" w:hanging="394"/>
        <w:spacing w:after="0" w:line="256" w:lineRule="auto"/>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Establishes procedures for receipt, retention and treatment of complaints regarding accounting, internal accounting controls or auditing matters, including the confidential and anonymous submission of “whistleblower” reports by our Manager regarding questionable accounting or auditing matters</w:t>
      </w:r>
    </w:p>
    <w:p>
      <w:pPr>
        <w:spacing w:after="0" w:line="107" w:lineRule="exact"/>
        <w:rPr>
          <w:rFonts w:ascii="MS PGothic" w:cs="MS PGothic" w:eastAsia="MS PGothic" w:hAnsi="MS PGothic"/>
          <w:sz w:val="17"/>
          <w:szCs w:val="17"/>
          <w:color w:val="auto"/>
        </w:rPr>
      </w:pPr>
    </w:p>
    <w:p>
      <w:pPr>
        <w:ind w:left="780" w:right="40" w:hanging="394"/>
        <w:spacing w:after="0" w:line="268" w:lineRule="auto"/>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Meets periodically with management and our independent registered public accounting firm to review and discuss the Company’s annual audited financial statements and quarterly financial statements and any material related person transactions</w:t>
      </w:r>
    </w:p>
    <w:p>
      <w:pPr>
        <w:spacing w:after="0" w:line="97" w:lineRule="exact"/>
        <w:rPr>
          <w:rFonts w:ascii="MS PGothic" w:cs="MS PGothic" w:eastAsia="MS PGothic" w:hAnsi="MS PGothic"/>
          <w:sz w:val="17"/>
          <w:szCs w:val="17"/>
          <w:color w:val="auto"/>
        </w:rPr>
      </w:pPr>
    </w:p>
    <w:p>
      <w:pPr>
        <w:ind w:left="780" w:hanging="394"/>
        <w:spacing w:after="0" w:line="268" w:lineRule="auto"/>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Meets separately, on a periodic basis, with management, internal auditors, or our personnel responsible for the internal audit function, and with our independent registered public accounting firm</w:t>
      </w:r>
    </w:p>
    <w:p>
      <w:pPr>
        <w:spacing w:after="0" w:line="97" w:lineRule="exact"/>
        <w:rPr>
          <w:rFonts w:ascii="MS PGothic" w:cs="MS PGothic" w:eastAsia="MS PGothic" w:hAnsi="MS PGothic"/>
          <w:sz w:val="17"/>
          <w:szCs w:val="17"/>
          <w:color w:val="auto"/>
        </w:rPr>
      </w:pPr>
    </w:p>
    <w:p>
      <w:pPr>
        <w:ind w:left="780" w:right="60" w:hanging="394"/>
        <w:spacing w:after="0" w:line="268" w:lineRule="auto"/>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Receives reports from management of (i) any significant deficiencies in the design or operation of our internal controls and (ii) any fraud involving management or other employees who have a significant role in our internal controls</w:t>
      </w:r>
    </w:p>
    <w:p>
      <w:pPr>
        <w:spacing w:after="0" w:line="97" w:lineRule="exact"/>
        <w:rPr>
          <w:rFonts w:ascii="MS PGothic" w:cs="MS PGothic" w:eastAsia="MS PGothic" w:hAnsi="MS PGothic"/>
          <w:sz w:val="17"/>
          <w:szCs w:val="17"/>
          <w:color w:val="auto"/>
        </w:rPr>
      </w:pPr>
    </w:p>
    <w:p>
      <w:pPr>
        <w:ind w:left="780" w:hanging="394"/>
        <w:spacing w:after="0"/>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Receives reports from independent registered public accounting firm at least annually of (i) internal quality-control procedures,</w:t>
      </w:r>
    </w:p>
    <w:p>
      <w:pPr>
        <w:spacing w:after="0" w:line="21" w:lineRule="exact"/>
        <w:rPr>
          <w:rFonts w:ascii="MS PGothic" w:cs="MS PGothic" w:eastAsia="MS PGothic" w:hAnsi="MS PGothic"/>
          <w:sz w:val="17"/>
          <w:szCs w:val="17"/>
          <w:color w:val="auto"/>
        </w:rPr>
      </w:pPr>
    </w:p>
    <w:p>
      <w:pPr>
        <w:ind w:left="780" w:right="340"/>
        <w:spacing w:after="0" w:line="246" w:lineRule="auto"/>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(ii) material issues raised by internal quality-control review or peer review of the auditing firm and (iii) all relationships and services between the independent registered public accounting firm and the Company</w:t>
      </w:r>
    </w:p>
    <w:p>
      <w:pPr>
        <w:spacing w:after="0" w:line="115" w:lineRule="exact"/>
        <w:rPr>
          <w:rFonts w:ascii="MS PGothic" w:cs="MS PGothic" w:eastAsia="MS PGothic" w:hAnsi="MS PGothic"/>
          <w:sz w:val="17"/>
          <w:szCs w:val="17"/>
          <w:color w:val="auto"/>
        </w:rPr>
      </w:pPr>
    </w:p>
    <w:p>
      <w:pPr>
        <w:ind w:left="780" w:hanging="394"/>
        <w:spacing w:after="0"/>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Reviews our hedging policy and the status of hedging transactions on a quarterly basis</w:t>
      </w:r>
    </w:p>
    <w:p>
      <w:pPr>
        <w:spacing w:after="0" w:line="140" w:lineRule="exact"/>
        <w:rPr>
          <w:rFonts w:ascii="MS PGothic" w:cs="MS PGothic" w:eastAsia="MS PGothic" w:hAnsi="MS PGothic"/>
          <w:sz w:val="17"/>
          <w:szCs w:val="17"/>
          <w:color w:val="auto"/>
        </w:rPr>
      </w:pPr>
    </w:p>
    <w:p>
      <w:pPr>
        <w:ind w:left="780" w:right="120" w:hanging="394"/>
        <w:spacing w:after="0" w:line="268" w:lineRule="auto"/>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Reviews and discusses the Company’s earnings press releases and financial information and earnings guidance provided to analysts and rating agencies</w:t>
      </w:r>
    </w:p>
    <w:p>
      <w:pPr>
        <w:spacing w:after="0" w:line="97" w:lineRule="exact"/>
        <w:rPr>
          <w:rFonts w:ascii="MS PGothic" w:cs="MS PGothic" w:eastAsia="MS PGothic" w:hAnsi="MS PGothic"/>
          <w:sz w:val="17"/>
          <w:szCs w:val="17"/>
          <w:color w:val="auto"/>
        </w:rPr>
      </w:pPr>
    </w:p>
    <w:p>
      <w:pPr>
        <w:ind w:left="780" w:hanging="394"/>
        <w:spacing w:after="0"/>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Discusses policies with respect to risk assessment and risk management</w:t>
      </w:r>
    </w:p>
    <w:p>
      <w:pPr>
        <w:spacing w:after="0" w:line="140" w:lineRule="exact"/>
        <w:rPr>
          <w:rFonts w:ascii="MS PGothic" w:cs="MS PGothic" w:eastAsia="MS PGothic" w:hAnsi="MS PGothic"/>
          <w:sz w:val="17"/>
          <w:szCs w:val="17"/>
          <w:color w:val="auto"/>
        </w:rPr>
      </w:pPr>
    </w:p>
    <w:p>
      <w:pPr>
        <w:ind w:left="780" w:hanging="394"/>
        <w:spacing w:after="0"/>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Regularly discusses committee activity with the Board</w:t>
      </w:r>
    </w:p>
    <w:p>
      <w:pPr>
        <w:spacing w:after="0" w:line="140" w:lineRule="exact"/>
        <w:rPr>
          <w:rFonts w:ascii="MS PGothic" w:cs="MS PGothic" w:eastAsia="MS PGothic" w:hAnsi="MS PGothic"/>
          <w:sz w:val="17"/>
          <w:szCs w:val="17"/>
          <w:color w:val="auto"/>
        </w:rPr>
      </w:pPr>
    </w:p>
    <w:p>
      <w:pPr>
        <w:ind w:left="780" w:hanging="394"/>
        <w:spacing w:after="0"/>
        <w:tabs>
          <w:tab w:leader="none" w:pos="780" w:val="left"/>
        </w:tabs>
        <w:numPr>
          <w:ilvl w:val="0"/>
          <w:numId w:val="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Ensures that policies are established regarding hiring employees or former employees of the independent auditors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10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00"/>
          </w:cols>
          <w:pgMar w:left="980" w:top="359" w:right="10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8AAAC"/>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66" w:lineRule="exact"/>
        <w:rPr>
          <w:sz w:val="20"/>
          <w:szCs w:val="20"/>
          <w:color w:val="auto"/>
        </w:rPr>
      </w:pPr>
    </w:p>
    <w:p>
      <w:pPr>
        <w:ind w:left="780" w:hanging="394"/>
        <w:spacing w:after="0"/>
        <w:tabs>
          <w:tab w:leader="none" w:pos="780" w:val="left"/>
        </w:tabs>
        <w:numPr>
          <w:ilvl w:val="0"/>
          <w:numId w:val="1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Reviews annually internal and external audits, if any, of our employee benefit plans and pension plans, if any</w:t>
      </w:r>
    </w:p>
    <w:p>
      <w:pPr>
        <w:spacing w:after="0" w:line="140" w:lineRule="exact"/>
        <w:rPr>
          <w:rFonts w:ascii="MS PGothic" w:cs="MS PGothic" w:eastAsia="MS PGothic" w:hAnsi="MS PGothic"/>
          <w:sz w:val="17"/>
          <w:szCs w:val="17"/>
          <w:color w:val="auto"/>
        </w:rPr>
      </w:pPr>
    </w:p>
    <w:p>
      <w:pPr>
        <w:ind w:left="780" w:right="40" w:hanging="394"/>
        <w:spacing w:after="0" w:line="300" w:lineRule="auto"/>
        <w:tabs>
          <w:tab w:leader="none" w:pos="780" w:val="left"/>
        </w:tabs>
        <w:numPr>
          <w:ilvl w:val="0"/>
          <w:numId w:val="1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Reviews annually the adequacy of our insurance, management information systems, internal accounting and financial controls, protection of technology and proprietary information, and policies and procedures relating to compliance with legal and regulatory requirements</w:t>
      </w:r>
    </w:p>
    <w:p>
      <w:pPr>
        <w:spacing w:after="0" w:line="74" w:lineRule="exact"/>
        <w:rPr>
          <w:rFonts w:ascii="MS PGothic" w:cs="MS PGothic" w:eastAsia="MS PGothic" w:hAnsi="MS PGothic"/>
          <w:sz w:val="16"/>
          <w:szCs w:val="16"/>
          <w:color w:val="auto"/>
        </w:rPr>
      </w:pPr>
    </w:p>
    <w:p>
      <w:pPr>
        <w:ind w:left="780" w:hanging="394"/>
        <w:spacing w:after="0"/>
        <w:tabs>
          <w:tab w:leader="none" w:pos="780" w:val="left"/>
        </w:tabs>
        <w:numPr>
          <w:ilvl w:val="0"/>
          <w:numId w:val="1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Oversees our ESG programs and ESG risk management</w:t>
      </w:r>
    </w:p>
    <w:p>
      <w:pPr>
        <w:spacing w:after="0" w:line="14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The Board, in its judgment, has determined that all members of our Audit Committee meet the independence requirements of the SEC and the rules of the Nasdaq. The Board has also determined that Mr. De Souza of the Audit Committee qualifies as an “audit committee financial expert” within the meaning of the rules of the SEC and that each member of our Audit Committee is financially literate, as interpreted by the board of trustees in its business judgment. The Audit Committee held four meetings during 2025.</w:t>
      </w:r>
    </w:p>
    <w:p>
      <w:pPr>
        <w:spacing w:after="0" w:line="11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xml:space="preserve"> is responsible for reviewing the performance of, and the compensation and expense reimbursements payable to our Manager under our management agreement. We do not have any employees, we do not pay our named executive officers, and, except for two accounting personnel of our Manager who are dedicated to providing services to us, we do not reimburse our Manager for any personnel compensation. Our Compensation Committee does not currently make any recommendations regarding the base salaries, annual incentive bonuses or long-term compensation awards paid to our named executive officers by our Manager.</w:t>
      </w:r>
    </w:p>
    <w:p>
      <w:pPr>
        <w:spacing w:after="0" w:line="11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The Board has determined that all members of our Compensation Committee are independent for purposes of the standards defined by the Nasdaq rules. The Compensation Committee held four meetings during 2025.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u w:val="single" w:color="auto"/>
          <w:color w:val="auto"/>
        </w:rPr>
        <w:t>Nominating and Corporate Governance Committee</w:t>
      </w:r>
      <w:r>
        <w:rPr>
          <w:rFonts w:ascii="Times New Roman" w:cs="Times New Roman" w:eastAsia="Times New Roman" w:hAnsi="Times New Roman"/>
          <w:sz w:val="17"/>
          <w:szCs w:val="17"/>
          <w:color w:val="auto"/>
        </w:rPr>
        <w:t xml:space="preserve"> is responsible, among other things, for the following matters:</w:t>
      </w:r>
    </w:p>
    <w:p>
      <w:pPr>
        <w:spacing w:after="0" w:line="140" w:lineRule="exact"/>
        <w:rPr>
          <w:sz w:val="20"/>
          <w:szCs w:val="20"/>
          <w:color w:val="auto"/>
        </w:rPr>
      </w:pPr>
    </w:p>
    <w:p>
      <w:pPr>
        <w:ind w:left="780" w:hanging="394"/>
        <w:spacing w:after="0"/>
        <w:tabs>
          <w:tab w:leader="none" w:pos="780" w:val="left"/>
        </w:tabs>
        <w:numPr>
          <w:ilvl w:val="0"/>
          <w:numId w:val="1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Provides counsel to the Board with respect to the organization, function, and composition of the Board and its committees</w:t>
      </w:r>
    </w:p>
    <w:p>
      <w:pPr>
        <w:spacing w:after="0" w:line="140" w:lineRule="exact"/>
        <w:rPr>
          <w:rFonts w:ascii="MS PGothic" w:cs="MS PGothic" w:eastAsia="MS PGothic" w:hAnsi="MS PGothic"/>
          <w:sz w:val="17"/>
          <w:szCs w:val="17"/>
          <w:color w:val="auto"/>
        </w:rPr>
      </w:pPr>
    </w:p>
    <w:p>
      <w:pPr>
        <w:ind w:left="780" w:right="40" w:hanging="394"/>
        <w:spacing w:after="0" w:line="268" w:lineRule="auto"/>
        <w:tabs>
          <w:tab w:leader="none" w:pos="780" w:val="left"/>
        </w:tabs>
        <w:numPr>
          <w:ilvl w:val="0"/>
          <w:numId w:val="1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Oversees the annual self-evaluation of our Board and its committees, and the Board’s annual evaluation of management, and report about those reviews to the Board</w:t>
      </w:r>
    </w:p>
    <w:p>
      <w:pPr>
        <w:spacing w:after="0" w:line="97" w:lineRule="exact"/>
        <w:rPr>
          <w:rFonts w:ascii="MS PGothic" w:cs="MS PGothic" w:eastAsia="MS PGothic" w:hAnsi="MS PGothic"/>
          <w:sz w:val="17"/>
          <w:szCs w:val="17"/>
          <w:color w:val="auto"/>
        </w:rPr>
      </w:pPr>
    </w:p>
    <w:p>
      <w:pPr>
        <w:ind w:left="780" w:hanging="394"/>
        <w:spacing w:after="0"/>
        <w:tabs>
          <w:tab w:leader="none" w:pos="780" w:val="left"/>
        </w:tabs>
        <w:numPr>
          <w:ilvl w:val="0"/>
          <w:numId w:val="1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Periodically reviews and, if appropriate, recommends to the full Board changes to our corporate governance policies and procedures</w:t>
      </w:r>
    </w:p>
    <w:p>
      <w:pPr>
        <w:spacing w:after="0" w:line="140" w:lineRule="exact"/>
        <w:rPr>
          <w:rFonts w:ascii="MS PGothic" w:cs="MS PGothic" w:eastAsia="MS PGothic" w:hAnsi="MS PGothic"/>
          <w:sz w:val="17"/>
          <w:szCs w:val="17"/>
          <w:color w:val="auto"/>
        </w:rPr>
      </w:pPr>
    </w:p>
    <w:p>
      <w:pPr>
        <w:ind w:left="780" w:right="520" w:hanging="394"/>
        <w:spacing w:after="0" w:line="268" w:lineRule="auto"/>
        <w:tabs>
          <w:tab w:leader="none" w:pos="780" w:val="left"/>
        </w:tabs>
        <w:numPr>
          <w:ilvl w:val="0"/>
          <w:numId w:val="1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Makes recommendations to the Board regarding governance matters, including with respect to the Company’s charter, bylaws and committee charters</w:t>
      </w:r>
    </w:p>
    <w:p>
      <w:pPr>
        <w:spacing w:after="0" w:line="97" w:lineRule="exact"/>
        <w:rPr>
          <w:rFonts w:ascii="MS PGothic" w:cs="MS PGothic" w:eastAsia="MS PGothic" w:hAnsi="MS PGothic"/>
          <w:sz w:val="17"/>
          <w:szCs w:val="17"/>
          <w:color w:val="auto"/>
        </w:rPr>
      </w:pPr>
    </w:p>
    <w:p>
      <w:pPr>
        <w:ind w:left="780" w:hanging="394"/>
        <w:spacing w:after="0"/>
        <w:tabs>
          <w:tab w:leader="none" w:pos="780" w:val="left"/>
        </w:tabs>
        <w:numPr>
          <w:ilvl w:val="0"/>
          <w:numId w:val="1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Identifies and recommends to our full Board potential trustee candidates for nomination</w:t>
      </w:r>
    </w:p>
    <w:p>
      <w:pPr>
        <w:spacing w:after="0" w:line="140" w:lineRule="exact"/>
        <w:rPr>
          <w:rFonts w:ascii="MS PGothic" w:cs="MS PGothic" w:eastAsia="MS PGothic" w:hAnsi="MS PGothic"/>
          <w:sz w:val="17"/>
          <w:szCs w:val="17"/>
          <w:color w:val="auto"/>
        </w:rPr>
      </w:pPr>
    </w:p>
    <w:p>
      <w:pPr>
        <w:ind w:left="780" w:hanging="394"/>
        <w:spacing w:after="0"/>
        <w:tabs>
          <w:tab w:leader="none" w:pos="780" w:val="left"/>
        </w:tabs>
        <w:numPr>
          <w:ilvl w:val="0"/>
          <w:numId w:val="1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Recommends to the full Board the appointment of each of our executive officers</w:t>
      </w:r>
    </w:p>
    <w:p>
      <w:pPr>
        <w:spacing w:after="0" w:line="140" w:lineRule="exact"/>
        <w:rPr>
          <w:rFonts w:ascii="MS PGothic" w:cs="MS PGothic" w:eastAsia="MS PGothic" w:hAnsi="MS PGothic"/>
          <w:sz w:val="17"/>
          <w:szCs w:val="17"/>
          <w:color w:val="auto"/>
        </w:rPr>
      </w:pPr>
    </w:p>
    <w:p>
      <w:pPr>
        <w:ind w:left="780" w:right="220" w:hanging="394"/>
        <w:spacing w:after="0" w:line="268" w:lineRule="auto"/>
        <w:tabs>
          <w:tab w:leader="none" w:pos="780" w:val="left"/>
        </w:tabs>
        <w:numPr>
          <w:ilvl w:val="0"/>
          <w:numId w:val="1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Monitors and evaluates compliance with legal and regulatory requirements with respect to corporate governance matters and reports to the Board periodically with respect to such matters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Nominating and Corporate Governance Committee held four meetings during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 xml:space="preserve">Star Holdings 2026 Proxy Statement | </w:t>
      </w:r>
      <w:r>
        <w:rPr>
          <w:rFonts w:ascii="Times New Roman" w:cs="Times New Roman" w:eastAsia="Times New Roman" w:hAnsi="Times New Roman"/>
          <w:sz w:val="16"/>
          <w:szCs w:val="16"/>
          <w:b w:val="1"/>
          <w:bCs w:val="1"/>
          <w:color w:val="1D4E8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346075</wp:posOffset>
            </wp:positionV>
            <wp:extent cx="630682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68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-103505</wp:posOffset>
            </wp:positionV>
            <wp:extent cx="607695"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Trustee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306820"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24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maintain a compensation program for our non-employee trustees under which each non-employee trustee receives the amounts described below for their service on the Board. The following sets forth the terms of the compensation program effective as of April</w:t>
      </w:r>
      <w:r>
        <w:rPr>
          <w:rFonts w:ascii="Arial" w:cs="Arial" w:eastAsia="Arial" w:hAnsi="Arial"/>
          <w:sz w:val="17"/>
          <w:szCs w:val="17"/>
          <w:color w:val="auto"/>
        </w:rPr>
        <w:t> </w:t>
      </w:r>
      <w:r>
        <w:rPr>
          <w:rFonts w:ascii="Times New Roman" w:cs="Times New Roman" w:eastAsia="Times New Roman" w:hAnsi="Times New Roman"/>
          <w:sz w:val="17"/>
          <w:szCs w:val="17"/>
          <w:color w:val="auto"/>
        </w:rPr>
        <w:t>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20" w:type="dxa"/>
            <w:vAlign w:val="bottom"/>
          </w:tcPr>
          <w:p>
            <w:pPr>
              <w:jc w:val="center"/>
              <w:ind w:right="104"/>
              <w:spacing w:after="0"/>
              <w:rPr>
                <w:sz w:val="20"/>
                <w:szCs w:val="20"/>
                <w:color w:val="auto"/>
              </w:rPr>
            </w:pPr>
            <w:r>
              <w:rPr>
                <w:rFonts w:ascii="Times New Roman" w:cs="Times New Roman" w:eastAsia="Times New Roman" w:hAnsi="Times New Roman"/>
                <w:sz w:val="13"/>
                <w:szCs w:val="13"/>
                <w:color w:val="auto"/>
                <w:w w:val="99"/>
              </w:rPr>
              <w:t>Annual</w:t>
            </w:r>
          </w:p>
        </w:tc>
        <w:tc>
          <w:tcPr>
            <w:tcW w:w="420" w:type="dxa"/>
            <w:vAlign w:val="bottom"/>
          </w:tcPr>
          <w:p>
            <w:pPr>
              <w:spacing w:after="0"/>
              <w:rPr>
                <w:sz w:val="12"/>
                <w:szCs w:val="12"/>
                <w:color w:val="auto"/>
              </w:rPr>
            </w:pPr>
          </w:p>
        </w:tc>
        <w:tc>
          <w:tcPr>
            <w:tcW w:w="1640" w:type="dxa"/>
            <w:vAlign w:val="bottom"/>
            <w:gridSpan w:val="2"/>
          </w:tcPr>
          <w:p>
            <w:pPr>
              <w:jc w:val="center"/>
              <w:ind w:right="197"/>
              <w:spacing w:after="0"/>
              <w:rPr>
                <w:sz w:val="20"/>
                <w:szCs w:val="20"/>
                <w:color w:val="auto"/>
              </w:rPr>
            </w:pPr>
            <w:r>
              <w:rPr>
                <w:rFonts w:ascii="Times New Roman" w:cs="Times New Roman" w:eastAsia="Times New Roman" w:hAnsi="Times New Roman"/>
                <w:sz w:val="13"/>
                <w:szCs w:val="13"/>
                <w:color w:val="auto"/>
              </w:rPr>
              <w:t>Annual Award of</w:t>
            </w:r>
          </w:p>
        </w:tc>
        <w:tc>
          <w:tcPr>
            <w:tcW w:w="0" w:type="dxa"/>
            <w:vAlign w:val="bottom"/>
          </w:tcPr>
          <w:p>
            <w:pPr>
              <w:spacing w:after="0"/>
              <w:rPr>
                <w:sz w:val="1"/>
                <w:szCs w:val="1"/>
                <w:color w:val="auto"/>
              </w:rPr>
            </w:pPr>
          </w:p>
        </w:tc>
      </w:tr>
      <w:tr>
        <w:trPr>
          <w:trHeight w:val="137"/>
        </w:trPr>
        <w:tc>
          <w:tcPr>
            <w:tcW w:w="46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320" w:type="dxa"/>
            <w:vAlign w:val="bottom"/>
          </w:tcPr>
          <w:p>
            <w:pPr>
              <w:jc w:val="center"/>
              <w:ind w:right="104"/>
              <w:spacing w:after="0" w:line="137" w:lineRule="exact"/>
              <w:rPr>
                <w:sz w:val="20"/>
                <w:szCs w:val="20"/>
                <w:color w:val="auto"/>
              </w:rPr>
            </w:pPr>
            <w:r>
              <w:rPr>
                <w:rFonts w:ascii="Times New Roman" w:cs="Times New Roman" w:eastAsia="Times New Roman" w:hAnsi="Times New Roman"/>
                <w:sz w:val="13"/>
                <w:szCs w:val="13"/>
                <w:color w:val="auto"/>
              </w:rPr>
              <w:t>Cash Retainer,</w:t>
            </w:r>
          </w:p>
        </w:tc>
        <w:tc>
          <w:tcPr>
            <w:tcW w:w="420" w:type="dxa"/>
            <w:vAlign w:val="bottom"/>
          </w:tcPr>
          <w:p>
            <w:pPr>
              <w:spacing w:after="0"/>
              <w:rPr>
                <w:sz w:val="11"/>
                <w:szCs w:val="11"/>
                <w:color w:val="auto"/>
              </w:rPr>
            </w:pPr>
          </w:p>
        </w:tc>
        <w:tc>
          <w:tcPr>
            <w:tcW w:w="1640" w:type="dxa"/>
            <w:vAlign w:val="bottom"/>
            <w:gridSpan w:val="2"/>
          </w:tcPr>
          <w:p>
            <w:pPr>
              <w:jc w:val="center"/>
              <w:ind w:right="197"/>
              <w:spacing w:after="0" w:line="137" w:lineRule="exact"/>
              <w:rPr>
                <w:sz w:val="20"/>
                <w:szCs w:val="20"/>
                <w:color w:val="auto"/>
              </w:rPr>
            </w:pPr>
            <w:r>
              <w:rPr>
                <w:rFonts w:ascii="Times New Roman" w:cs="Times New Roman" w:eastAsia="Times New Roman" w:hAnsi="Times New Roman"/>
                <w:sz w:val="13"/>
                <w:szCs w:val="13"/>
                <w:color w:val="auto"/>
              </w:rPr>
              <w:t>Restricted Shares of</w:t>
            </w:r>
          </w:p>
        </w:tc>
        <w:tc>
          <w:tcPr>
            <w:tcW w:w="0" w:type="dxa"/>
            <w:vAlign w:val="bottom"/>
          </w:tcPr>
          <w:p>
            <w:pPr>
              <w:spacing w:after="0"/>
              <w:rPr>
                <w:sz w:val="1"/>
                <w:szCs w:val="1"/>
                <w:color w:val="auto"/>
              </w:rPr>
            </w:pPr>
          </w:p>
        </w:tc>
      </w:tr>
      <w:tr>
        <w:trPr>
          <w:trHeight w:val="137"/>
        </w:trPr>
        <w:tc>
          <w:tcPr>
            <w:tcW w:w="46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320" w:type="dxa"/>
            <w:vAlign w:val="bottom"/>
          </w:tcPr>
          <w:p>
            <w:pPr>
              <w:jc w:val="center"/>
              <w:ind w:right="84"/>
              <w:spacing w:after="0" w:line="137" w:lineRule="exact"/>
              <w:rPr>
                <w:sz w:val="20"/>
                <w:szCs w:val="20"/>
                <w:color w:val="auto"/>
              </w:rPr>
            </w:pPr>
            <w:r>
              <w:rPr>
                <w:rFonts w:ascii="Times New Roman" w:cs="Times New Roman" w:eastAsia="Times New Roman" w:hAnsi="Times New Roman"/>
                <w:sz w:val="13"/>
                <w:szCs w:val="13"/>
                <w:color w:val="auto"/>
              </w:rPr>
              <w:t>Paid in Quarterly</w:t>
            </w:r>
          </w:p>
        </w:tc>
        <w:tc>
          <w:tcPr>
            <w:tcW w:w="2060" w:type="dxa"/>
            <w:vAlign w:val="bottom"/>
            <w:gridSpan w:val="3"/>
          </w:tcPr>
          <w:p>
            <w:pPr>
              <w:jc w:val="center"/>
              <w:ind w:left="63"/>
              <w:spacing w:after="0" w:line="137" w:lineRule="exact"/>
              <w:rPr>
                <w:sz w:val="20"/>
                <w:szCs w:val="20"/>
                <w:color w:val="auto"/>
              </w:rPr>
            </w:pPr>
            <w:r>
              <w:rPr>
                <w:rFonts w:ascii="Times New Roman" w:cs="Times New Roman" w:eastAsia="Times New Roman" w:hAnsi="Times New Roman"/>
                <w:sz w:val="13"/>
                <w:szCs w:val="13"/>
                <w:color w:val="auto"/>
              </w:rPr>
              <w:t>Common Stock or Common Stock</w:t>
            </w:r>
          </w:p>
        </w:tc>
        <w:tc>
          <w:tcPr>
            <w:tcW w:w="0" w:type="dxa"/>
            <w:vAlign w:val="bottom"/>
          </w:tcPr>
          <w:p>
            <w:pPr>
              <w:spacing w:after="0"/>
              <w:rPr>
                <w:sz w:val="1"/>
                <w:szCs w:val="1"/>
                <w:color w:val="auto"/>
              </w:rPr>
            </w:pPr>
          </w:p>
        </w:tc>
      </w:tr>
      <w:tr>
        <w:trPr>
          <w:trHeight w:val="137"/>
        </w:trPr>
        <w:tc>
          <w:tcPr>
            <w:tcW w:w="4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Role</w:t>
            </w:r>
          </w:p>
        </w:tc>
        <w:tc>
          <w:tcPr>
            <w:tcW w:w="1940" w:type="dxa"/>
            <w:vAlign w:val="bottom"/>
          </w:tcPr>
          <w:p>
            <w:pPr>
              <w:spacing w:after="0"/>
              <w:rPr>
                <w:sz w:val="11"/>
                <w:szCs w:val="11"/>
                <w:color w:val="auto"/>
              </w:rPr>
            </w:pPr>
          </w:p>
        </w:tc>
        <w:tc>
          <w:tcPr>
            <w:tcW w:w="1320" w:type="dxa"/>
            <w:vAlign w:val="bottom"/>
          </w:tcPr>
          <w:p>
            <w:pPr>
              <w:jc w:val="center"/>
              <w:ind w:right="84"/>
              <w:spacing w:after="0" w:line="137" w:lineRule="exact"/>
              <w:rPr>
                <w:sz w:val="20"/>
                <w:szCs w:val="20"/>
                <w:color w:val="auto"/>
              </w:rPr>
            </w:pPr>
            <w:r>
              <w:rPr>
                <w:rFonts w:ascii="Times New Roman" w:cs="Times New Roman" w:eastAsia="Times New Roman" w:hAnsi="Times New Roman"/>
                <w:sz w:val="13"/>
                <w:szCs w:val="13"/>
                <w:color w:val="auto"/>
              </w:rPr>
              <w:t>Installments</w:t>
            </w:r>
          </w:p>
        </w:tc>
        <w:tc>
          <w:tcPr>
            <w:tcW w:w="420" w:type="dxa"/>
            <w:vAlign w:val="bottom"/>
          </w:tcPr>
          <w:p>
            <w:pPr>
              <w:spacing w:after="0"/>
              <w:rPr>
                <w:sz w:val="11"/>
                <w:szCs w:val="11"/>
                <w:color w:val="auto"/>
              </w:rPr>
            </w:pPr>
          </w:p>
        </w:tc>
        <w:tc>
          <w:tcPr>
            <w:tcW w:w="1600" w:type="dxa"/>
            <w:vAlign w:val="bottom"/>
            <w:vMerge w:val="restart"/>
          </w:tcPr>
          <w:p>
            <w:pPr>
              <w:jc w:val="center"/>
              <w:ind w:right="16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640" w:type="dxa"/>
            <w:vAlign w:val="bottom"/>
            <w:tcBorders>
              <w:bottom w:val="single" w:sz="8" w:color="1D4E8F"/>
            </w:tcBorders>
            <w:vMerge w:val="continue"/>
          </w:tcPr>
          <w:p>
            <w:pPr>
              <w:spacing w:after="0"/>
              <w:rPr>
                <w:sz w:val="13"/>
                <w:szCs w:val="13"/>
                <w:color w:val="auto"/>
              </w:rPr>
            </w:pPr>
          </w:p>
        </w:tc>
        <w:tc>
          <w:tcPr>
            <w:tcW w:w="1940" w:type="dxa"/>
            <w:vAlign w:val="bottom"/>
            <w:tcBorders>
              <w:bottom w:val="single" w:sz="8" w:color="1D4E8F"/>
            </w:tcBorders>
          </w:tcPr>
          <w:p>
            <w:pPr>
              <w:spacing w:after="0"/>
              <w:rPr>
                <w:sz w:val="13"/>
                <w:szCs w:val="13"/>
                <w:color w:val="auto"/>
              </w:rPr>
            </w:pPr>
          </w:p>
        </w:tc>
        <w:tc>
          <w:tcPr>
            <w:tcW w:w="1320" w:type="dxa"/>
            <w:vAlign w:val="bottom"/>
            <w:tcBorders>
              <w:bottom w:val="single" w:sz="8" w:color="1D4E8F"/>
            </w:tcBorders>
          </w:tcPr>
          <w:p>
            <w:pPr>
              <w:jc w:val="center"/>
              <w:ind w:right="8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1D4E8F"/>
            </w:tcBorders>
          </w:tcPr>
          <w:p>
            <w:pPr>
              <w:spacing w:after="0"/>
              <w:rPr>
                <w:sz w:val="13"/>
                <w:szCs w:val="13"/>
                <w:color w:val="auto"/>
              </w:rPr>
            </w:pPr>
          </w:p>
        </w:tc>
        <w:tc>
          <w:tcPr>
            <w:tcW w:w="1600" w:type="dxa"/>
            <w:vAlign w:val="bottom"/>
            <w:tcBorders>
              <w:bottom w:val="single" w:sz="8" w:color="1D4E8F"/>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Non-Employee Trustees</w:t>
            </w:r>
          </w:p>
        </w:tc>
        <w:tc>
          <w:tcPr>
            <w:tcW w:w="1940" w:type="dxa"/>
            <w:vAlign w:val="bottom"/>
            <w:tcBorders>
              <w:bottom w:val="single" w:sz="8" w:color="999999"/>
            </w:tcBorders>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150,000</w:t>
            </w:r>
          </w:p>
        </w:tc>
        <w:tc>
          <w:tcPr>
            <w:tcW w:w="420" w:type="dxa"/>
            <w:vAlign w:val="bottom"/>
            <w:tcBorders>
              <w:bottom w:val="single" w:sz="8" w:color="999999"/>
            </w:tcBorders>
          </w:tcPr>
          <w:p>
            <w:pPr>
              <w:jc w:val="right"/>
              <w:ind w:right="8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999999"/>
            </w:tcBorders>
          </w:tcPr>
          <w:p>
            <w:pPr>
              <w:ind w:left="13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464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Committee Chairs:</w:t>
            </w:r>
          </w:p>
        </w:tc>
        <w:tc>
          <w:tcPr>
            <w:tcW w:w="1940" w:type="dxa"/>
            <w:vAlign w:val="bottom"/>
            <w:tcBorders>
              <w:bottom w:val="single" w:sz="8" w:color="999999"/>
            </w:tcBorders>
          </w:tcPr>
          <w:p>
            <w:pPr>
              <w:spacing w:after="0"/>
              <w:rPr>
                <w:sz w:val="16"/>
                <w:szCs w:val="16"/>
                <w:color w:val="auto"/>
              </w:rPr>
            </w:pPr>
          </w:p>
        </w:tc>
        <w:tc>
          <w:tcPr>
            <w:tcW w:w="1320" w:type="dxa"/>
            <w:vAlign w:val="bottom"/>
            <w:tcBorders>
              <w:bottom w:val="single" w:sz="8" w:color="999999"/>
            </w:tcBorders>
          </w:tcPr>
          <w:p>
            <w:pPr>
              <w:spacing w:after="0"/>
              <w:rPr>
                <w:sz w:val="16"/>
                <w:szCs w:val="16"/>
                <w:color w:val="auto"/>
              </w:rPr>
            </w:pPr>
          </w:p>
        </w:tc>
        <w:tc>
          <w:tcPr>
            <w:tcW w:w="420" w:type="dxa"/>
            <w:vAlign w:val="bottom"/>
            <w:tcBorders>
              <w:bottom w:val="single" w:sz="8" w:color="999999"/>
            </w:tcBorders>
          </w:tcPr>
          <w:p>
            <w:pPr>
              <w:jc w:val="right"/>
              <w:ind w:right="263"/>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999999"/>
            </w:tcBorders>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999999"/>
            </w:tcBorders>
          </w:tcPr>
          <w:p>
            <w:pPr>
              <w:ind w:left="100"/>
              <w:spacing w:after="0" w:line="19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Audit</w:t>
            </w:r>
          </w:p>
        </w:tc>
        <w:tc>
          <w:tcPr>
            <w:tcW w:w="1940" w:type="dxa"/>
            <w:vAlign w:val="bottom"/>
            <w:tcBorders>
              <w:bottom w:val="single" w:sz="8" w:color="999999"/>
            </w:tcBorders>
          </w:tcPr>
          <w:p>
            <w:pPr>
              <w:spacing w:after="0"/>
              <w:rPr>
                <w:sz w:val="16"/>
                <w:szCs w:val="16"/>
                <w:color w:val="auto"/>
              </w:rPr>
            </w:pPr>
          </w:p>
        </w:tc>
        <w:tc>
          <w:tcPr>
            <w:tcW w:w="13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999999"/>
            </w:tcBorders>
          </w:tcPr>
          <w:p>
            <w:pPr>
              <w:spacing w:after="0"/>
              <w:rPr>
                <w:sz w:val="16"/>
                <w:szCs w:val="16"/>
                <w:color w:val="auto"/>
              </w:rPr>
            </w:pPr>
          </w:p>
        </w:tc>
        <w:tc>
          <w:tcPr>
            <w:tcW w:w="1600" w:type="dxa"/>
            <w:vAlign w:val="bottom"/>
            <w:tcBorders>
              <w:bottom w:val="single" w:sz="8" w:color="999999"/>
            </w:tcBorders>
          </w:tcPr>
          <w:p>
            <w:pPr>
              <w:ind w:left="13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999999"/>
            </w:tcBorders>
          </w:tcPr>
          <w:p>
            <w:pPr>
              <w:ind w:left="100"/>
              <w:spacing w:after="0" w:line="19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Compensation</w:t>
            </w:r>
          </w:p>
        </w:tc>
        <w:tc>
          <w:tcPr>
            <w:tcW w:w="1940" w:type="dxa"/>
            <w:vAlign w:val="bottom"/>
            <w:tcBorders>
              <w:bottom w:val="single" w:sz="8" w:color="999999"/>
            </w:tcBorders>
          </w:tcPr>
          <w:p>
            <w:pPr>
              <w:spacing w:after="0"/>
              <w:rPr>
                <w:sz w:val="16"/>
                <w:szCs w:val="16"/>
                <w:color w:val="auto"/>
              </w:rPr>
            </w:pPr>
          </w:p>
        </w:tc>
        <w:tc>
          <w:tcPr>
            <w:tcW w:w="13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999999"/>
            </w:tcBorders>
          </w:tcPr>
          <w:p>
            <w:pPr>
              <w:spacing w:after="0"/>
              <w:rPr>
                <w:sz w:val="16"/>
                <w:szCs w:val="16"/>
                <w:color w:val="auto"/>
              </w:rPr>
            </w:pPr>
          </w:p>
        </w:tc>
        <w:tc>
          <w:tcPr>
            <w:tcW w:w="1600" w:type="dxa"/>
            <w:vAlign w:val="bottom"/>
            <w:tcBorders>
              <w:bottom w:val="single" w:sz="8" w:color="999999"/>
            </w:tcBorders>
          </w:tcPr>
          <w:p>
            <w:pPr>
              <w:ind w:left="13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999999"/>
            </w:tcBorders>
          </w:tcPr>
          <w:p>
            <w:pPr>
              <w:ind w:left="100"/>
              <w:spacing w:after="0" w:line="19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Nominating and Corporate Governance</w:t>
            </w:r>
          </w:p>
        </w:tc>
        <w:tc>
          <w:tcPr>
            <w:tcW w:w="1940" w:type="dxa"/>
            <w:vAlign w:val="bottom"/>
            <w:tcBorders>
              <w:bottom w:val="single" w:sz="8" w:color="999999"/>
            </w:tcBorders>
          </w:tcPr>
          <w:p>
            <w:pPr>
              <w:spacing w:after="0"/>
              <w:rPr>
                <w:sz w:val="16"/>
                <w:szCs w:val="16"/>
                <w:color w:val="auto"/>
              </w:rPr>
            </w:pPr>
          </w:p>
        </w:tc>
        <w:tc>
          <w:tcPr>
            <w:tcW w:w="13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999999"/>
            </w:tcBorders>
          </w:tcPr>
          <w:p>
            <w:pPr>
              <w:spacing w:after="0"/>
              <w:rPr>
                <w:sz w:val="16"/>
                <w:szCs w:val="16"/>
                <w:color w:val="auto"/>
              </w:rPr>
            </w:pPr>
          </w:p>
        </w:tc>
        <w:tc>
          <w:tcPr>
            <w:tcW w:w="1600" w:type="dxa"/>
            <w:vAlign w:val="bottom"/>
            <w:tcBorders>
              <w:bottom w:val="single" w:sz="8" w:color="999999"/>
            </w:tcBorders>
          </w:tcPr>
          <w:p>
            <w:pPr>
              <w:ind w:left="13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464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Committee Members:</w:t>
            </w:r>
          </w:p>
        </w:tc>
        <w:tc>
          <w:tcPr>
            <w:tcW w:w="1940" w:type="dxa"/>
            <w:vAlign w:val="bottom"/>
            <w:tcBorders>
              <w:bottom w:val="single" w:sz="8" w:color="999999"/>
            </w:tcBorders>
          </w:tcPr>
          <w:p>
            <w:pPr>
              <w:spacing w:after="0"/>
              <w:rPr>
                <w:sz w:val="16"/>
                <w:szCs w:val="16"/>
                <w:color w:val="auto"/>
              </w:rPr>
            </w:pPr>
          </w:p>
        </w:tc>
        <w:tc>
          <w:tcPr>
            <w:tcW w:w="1320" w:type="dxa"/>
            <w:vAlign w:val="bottom"/>
            <w:tcBorders>
              <w:bottom w:val="single" w:sz="8" w:color="999999"/>
            </w:tcBorders>
          </w:tcPr>
          <w:p>
            <w:pPr>
              <w:spacing w:after="0"/>
              <w:rPr>
                <w:sz w:val="16"/>
                <w:szCs w:val="16"/>
                <w:color w:val="auto"/>
              </w:rPr>
            </w:pPr>
          </w:p>
        </w:tc>
        <w:tc>
          <w:tcPr>
            <w:tcW w:w="420" w:type="dxa"/>
            <w:vAlign w:val="bottom"/>
            <w:tcBorders>
              <w:bottom w:val="single" w:sz="8" w:color="999999"/>
            </w:tcBorders>
          </w:tcPr>
          <w:p>
            <w:pPr>
              <w:spacing w:after="0"/>
              <w:rPr>
                <w:sz w:val="16"/>
                <w:szCs w:val="16"/>
                <w:color w:val="auto"/>
              </w:rPr>
            </w:pPr>
          </w:p>
        </w:tc>
        <w:tc>
          <w:tcPr>
            <w:tcW w:w="1600" w:type="dxa"/>
            <w:vAlign w:val="bottom"/>
            <w:tcBorders>
              <w:bottom w:val="single" w:sz="8" w:color="999999"/>
            </w:tcBorders>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999999"/>
            </w:tcBorders>
          </w:tcPr>
          <w:p>
            <w:pPr>
              <w:ind w:left="100"/>
              <w:spacing w:after="0" w:line="19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Audit</w:t>
            </w:r>
          </w:p>
        </w:tc>
        <w:tc>
          <w:tcPr>
            <w:tcW w:w="1940" w:type="dxa"/>
            <w:vAlign w:val="bottom"/>
            <w:tcBorders>
              <w:bottom w:val="single" w:sz="8" w:color="999999"/>
            </w:tcBorders>
          </w:tcPr>
          <w:p>
            <w:pPr>
              <w:spacing w:after="0"/>
              <w:rPr>
                <w:sz w:val="16"/>
                <w:szCs w:val="16"/>
                <w:color w:val="auto"/>
              </w:rPr>
            </w:pPr>
          </w:p>
        </w:tc>
        <w:tc>
          <w:tcPr>
            <w:tcW w:w="13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999999"/>
            </w:tcBorders>
          </w:tcPr>
          <w:p>
            <w:pPr>
              <w:spacing w:after="0"/>
              <w:rPr>
                <w:sz w:val="16"/>
                <w:szCs w:val="16"/>
                <w:color w:val="auto"/>
              </w:rPr>
            </w:pPr>
          </w:p>
        </w:tc>
        <w:tc>
          <w:tcPr>
            <w:tcW w:w="1600" w:type="dxa"/>
            <w:vAlign w:val="bottom"/>
            <w:tcBorders>
              <w:bottom w:val="single" w:sz="8" w:color="999999"/>
            </w:tcBorders>
          </w:tcPr>
          <w:p>
            <w:pPr>
              <w:ind w:left="13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999999"/>
            </w:tcBorders>
          </w:tcPr>
          <w:p>
            <w:pPr>
              <w:ind w:left="100"/>
              <w:spacing w:after="0" w:line="19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Compensation</w:t>
            </w:r>
          </w:p>
        </w:tc>
        <w:tc>
          <w:tcPr>
            <w:tcW w:w="1940" w:type="dxa"/>
            <w:vAlign w:val="bottom"/>
            <w:tcBorders>
              <w:bottom w:val="single" w:sz="8" w:color="999999"/>
            </w:tcBorders>
          </w:tcPr>
          <w:p>
            <w:pPr>
              <w:spacing w:after="0"/>
              <w:rPr>
                <w:sz w:val="16"/>
                <w:szCs w:val="16"/>
                <w:color w:val="auto"/>
              </w:rPr>
            </w:pPr>
          </w:p>
        </w:tc>
        <w:tc>
          <w:tcPr>
            <w:tcW w:w="13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999999"/>
            </w:tcBorders>
          </w:tcPr>
          <w:p>
            <w:pPr>
              <w:spacing w:after="0"/>
              <w:rPr>
                <w:sz w:val="16"/>
                <w:szCs w:val="16"/>
                <w:color w:val="auto"/>
              </w:rPr>
            </w:pPr>
          </w:p>
        </w:tc>
        <w:tc>
          <w:tcPr>
            <w:tcW w:w="1600" w:type="dxa"/>
            <w:vAlign w:val="bottom"/>
            <w:tcBorders>
              <w:bottom w:val="single" w:sz="8" w:color="999999"/>
            </w:tcBorders>
          </w:tcPr>
          <w:p>
            <w:pPr>
              <w:ind w:left="13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999999"/>
            </w:tcBorders>
          </w:tcPr>
          <w:p>
            <w:pPr>
              <w:ind w:left="100"/>
              <w:spacing w:after="0" w:line="19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Nominating and Corporate Governance</w:t>
            </w:r>
          </w:p>
        </w:tc>
        <w:tc>
          <w:tcPr>
            <w:tcW w:w="1940" w:type="dxa"/>
            <w:vAlign w:val="bottom"/>
            <w:tcBorders>
              <w:bottom w:val="single" w:sz="8" w:color="999999"/>
            </w:tcBorders>
          </w:tcPr>
          <w:p>
            <w:pPr>
              <w:spacing w:after="0"/>
              <w:rPr>
                <w:sz w:val="16"/>
                <w:szCs w:val="16"/>
                <w:color w:val="auto"/>
              </w:rPr>
            </w:pPr>
          </w:p>
        </w:tc>
        <w:tc>
          <w:tcPr>
            <w:tcW w:w="13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999999"/>
            </w:tcBorders>
          </w:tcPr>
          <w:p>
            <w:pPr>
              <w:spacing w:after="0"/>
              <w:rPr>
                <w:sz w:val="16"/>
                <w:szCs w:val="16"/>
                <w:color w:val="auto"/>
              </w:rPr>
            </w:pPr>
          </w:p>
        </w:tc>
        <w:tc>
          <w:tcPr>
            <w:tcW w:w="1600" w:type="dxa"/>
            <w:vAlign w:val="bottom"/>
            <w:tcBorders>
              <w:bottom w:val="single" w:sz="8" w:color="999999"/>
            </w:tcBorders>
          </w:tcPr>
          <w:p>
            <w:pPr>
              <w:ind w:left="13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40" w:type="dxa"/>
            <w:vAlign w:val="bottom"/>
            <w:tcBorders>
              <w:bottom w:val="single" w:sz="8" w:color="1D4E8F"/>
            </w:tcBorders>
          </w:tcPr>
          <w:p>
            <w:pPr>
              <w:spacing w:after="0" w:line="191" w:lineRule="exact"/>
              <w:rPr>
                <w:sz w:val="20"/>
                <w:szCs w:val="20"/>
                <w:color w:val="auto"/>
              </w:rPr>
            </w:pPr>
            <w:r>
              <w:rPr>
                <w:rFonts w:ascii="Times New Roman" w:cs="Times New Roman" w:eastAsia="Times New Roman" w:hAnsi="Times New Roman"/>
                <w:sz w:val="17"/>
                <w:szCs w:val="17"/>
                <w:color w:val="auto"/>
              </w:rPr>
              <w:t>Lead Trustee</w:t>
            </w:r>
          </w:p>
        </w:tc>
        <w:tc>
          <w:tcPr>
            <w:tcW w:w="1940" w:type="dxa"/>
            <w:vAlign w:val="bottom"/>
            <w:tcBorders>
              <w:bottom w:val="single" w:sz="8" w:color="1D4E8F"/>
            </w:tcBorders>
          </w:tcPr>
          <w:p>
            <w:pPr>
              <w:spacing w:after="0"/>
              <w:rPr>
                <w:sz w:val="16"/>
                <w:szCs w:val="16"/>
                <w:color w:val="auto"/>
              </w:rPr>
            </w:pPr>
          </w:p>
        </w:tc>
        <w:tc>
          <w:tcPr>
            <w:tcW w:w="1320" w:type="dxa"/>
            <w:vAlign w:val="bottom"/>
            <w:tcBorders>
              <w:bottom w:val="single" w:sz="8" w:color="1D4E8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1D4E8F"/>
            </w:tcBorders>
          </w:tcPr>
          <w:p>
            <w:pPr>
              <w:spacing w:after="0"/>
              <w:rPr>
                <w:sz w:val="16"/>
                <w:szCs w:val="16"/>
                <w:color w:val="auto"/>
              </w:rPr>
            </w:pPr>
          </w:p>
        </w:tc>
        <w:tc>
          <w:tcPr>
            <w:tcW w:w="1600" w:type="dxa"/>
            <w:vAlign w:val="bottom"/>
            <w:tcBorders>
              <w:bottom w:val="single" w:sz="8" w:color="1D4E8F"/>
            </w:tcBorders>
          </w:tcPr>
          <w:p>
            <w:pPr>
              <w:ind w:left="13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Trustees do not receive additional fees for attending board or committee meetings.</w:t>
      </w:r>
    </w:p>
    <w:p>
      <w:pPr>
        <w:spacing w:after="0" w:line="14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7"/>
          <w:szCs w:val="17"/>
          <w:color w:val="auto"/>
        </w:rPr>
        <w:t>The table below summarizes the compensation information for our non-employee trustees who served during the fiscal year ended December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ind w:left="48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80" w:type="dxa"/>
            <w:vAlign w:val="bottom"/>
          </w:tcPr>
          <w:p>
            <w:pPr>
              <w:jc w:val="right"/>
              <w:ind w:right="25"/>
              <w:spacing w:after="0"/>
              <w:rPr>
                <w:sz w:val="20"/>
                <w:szCs w:val="20"/>
                <w:color w:val="auto"/>
              </w:rPr>
            </w:pPr>
            <w:r>
              <w:rPr>
                <w:rFonts w:ascii="Times New Roman" w:cs="Times New Roman" w:eastAsia="Times New Roman" w:hAnsi="Times New Roman"/>
                <w:sz w:val="13"/>
                <w:szCs w:val="13"/>
                <w:color w:val="auto"/>
              </w:rPr>
              <w:t>Fees Earned or    ​​​</w:t>
            </w:r>
          </w:p>
        </w:tc>
        <w:tc>
          <w:tcPr>
            <w:tcW w:w="120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All Other</w:t>
            </w:r>
          </w:p>
        </w:tc>
        <w:tc>
          <w:tcPr>
            <w:tcW w:w="1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1"/>
        </w:trPr>
        <w:tc>
          <w:tcPr>
            <w:tcW w:w="49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Name</w:t>
            </w:r>
          </w:p>
        </w:tc>
        <w:tc>
          <w:tcPr>
            <w:tcW w:w="180" w:type="dxa"/>
            <w:vAlign w:val="bottom"/>
          </w:tcPr>
          <w:p>
            <w:pPr>
              <w:spacing w:after="0"/>
              <w:rPr>
                <w:sz w:val="12"/>
                <w:szCs w:val="12"/>
                <w:color w:val="auto"/>
              </w:rPr>
            </w:pPr>
          </w:p>
        </w:tc>
        <w:tc>
          <w:tcPr>
            <w:tcW w:w="1280" w:type="dxa"/>
            <w:vAlign w:val="bottom"/>
          </w:tcPr>
          <w:p>
            <w:pPr>
              <w:jc w:val="right"/>
              <w:ind w:right="445"/>
              <w:spacing w:after="0" w:line="141" w:lineRule="exact"/>
              <w:rPr>
                <w:sz w:val="20"/>
                <w:szCs w:val="20"/>
                <w:color w:val="auto"/>
              </w:rPr>
            </w:pPr>
            <w:r>
              <w:rPr>
                <w:rFonts w:ascii="Times New Roman" w:cs="Times New Roman" w:eastAsia="Times New Roman" w:hAnsi="Times New Roman"/>
                <w:sz w:val="13"/>
                <w:szCs w:val="13"/>
                <w:color w:val="auto"/>
              </w:rPr>
              <w:t>Paid in Cash</w:t>
            </w:r>
          </w:p>
        </w:tc>
        <w:tc>
          <w:tcPr>
            <w:tcW w:w="1200" w:type="dxa"/>
            <w:vAlign w:val="bottom"/>
          </w:tcPr>
          <w:p>
            <w:pPr>
              <w:jc w:val="center"/>
              <w:ind w:right="185"/>
              <w:spacing w:after="0" w:line="141" w:lineRule="exact"/>
              <w:rPr>
                <w:sz w:val="20"/>
                <w:szCs w:val="20"/>
                <w:color w:val="auto"/>
              </w:rPr>
            </w:pPr>
            <w:r>
              <w:rPr>
                <w:rFonts w:ascii="Times New Roman" w:cs="Times New Roman" w:eastAsia="Times New Roman" w:hAnsi="Times New Roman"/>
                <w:sz w:val="13"/>
                <w:szCs w:val="13"/>
                <w:color w:val="auto"/>
              </w:rPr>
              <w:t>Stock Awards</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1"/>
                <w:szCs w:val="11"/>
                <w:color w:val="auto"/>
              </w:rPr>
              <w:t>Compensation</w:t>
            </w:r>
            <w:r>
              <w:rPr>
                <w:rFonts w:ascii="Times New Roman" w:cs="Times New Roman" w:eastAsia="Times New Roman" w:hAnsi="Times New Roman"/>
                <w:sz w:val="16"/>
                <w:szCs w:val="16"/>
                <w:color w:val="auto"/>
                <w:vertAlign w:val="superscript"/>
              </w:rPr>
              <w:t>(1)</w:t>
            </w:r>
          </w:p>
        </w:tc>
        <w:tc>
          <w:tcPr>
            <w:tcW w:w="1240" w:type="dxa"/>
            <w:vAlign w:val="bottom"/>
          </w:tcPr>
          <w:p>
            <w:pPr>
              <w:ind w:left="600"/>
              <w:spacing w:after="0" w:line="141" w:lineRule="exact"/>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57"/>
        </w:trPr>
        <w:tc>
          <w:tcPr>
            <w:tcW w:w="4980" w:type="dxa"/>
            <w:vAlign w:val="bottom"/>
            <w:tcBorders>
              <w:bottom w:val="single" w:sz="8" w:color="1D4E8F"/>
            </w:tcBorders>
            <w:vMerge w:val="continue"/>
          </w:tcPr>
          <w:p>
            <w:pPr>
              <w:spacing w:after="0"/>
              <w:rPr>
                <w:sz w:val="13"/>
                <w:szCs w:val="13"/>
                <w:color w:val="auto"/>
              </w:rPr>
            </w:pPr>
          </w:p>
        </w:tc>
        <w:tc>
          <w:tcPr>
            <w:tcW w:w="180" w:type="dxa"/>
            <w:vAlign w:val="bottom"/>
            <w:tcBorders>
              <w:bottom w:val="single" w:sz="8" w:color="1D4E8F"/>
            </w:tcBorders>
          </w:tcPr>
          <w:p>
            <w:pPr>
              <w:spacing w:after="0"/>
              <w:rPr>
                <w:sz w:val="13"/>
                <w:szCs w:val="13"/>
                <w:color w:val="auto"/>
              </w:rPr>
            </w:pPr>
          </w:p>
        </w:tc>
        <w:tc>
          <w:tcPr>
            <w:tcW w:w="1280" w:type="dxa"/>
            <w:vAlign w:val="bottom"/>
            <w:tcBorders>
              <w:bottom w:val="single" w:sz="8" w:color="1D4E8F"/>
            </w:tcBorders>
          </w:tcPr>
          <w:p>
            <w:pPr>
              <w:jc w:val="right"/>
              <w:ind w:right="685"/>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1D4E8F"/>
            </w:tcBorders>
          </w:tcPr>
          <w:p>
            <w:pPr>
              <w:jc w:val="right"/>
              <w:ind w:right="585"/>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1D4E8F"/>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1D4E8F"/>
            </w:tcBorders>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1"/>
        </w:trPr>
        <w:tc>
          <w:tcPr>
            <w:tcW w:w="498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Clifford De Souza</w:t>
            </w:r>
          </w:p>
        </w:tc>
        <w:tc>
          <w:tcPr>
            <w:tcW w:w="18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999999"/>
            </w:tcBorders>
          </w:tcPr>
          <w:p>
            <w:pPr>
              <w:jc w:val="right"/>
              <w:ind w:right="245"/>
              <w:spacing w:after="0" w:line="191" w:lineRule="exact"/>
              <w:rPr>
                <w:sz w:val="20"/>
                <w:szCs w:val="20"/>
                <w:color w:val="auto"/>
              </w:rPr>
            </w:pPr>
            <w:r>
              <w:rPr>
                <w:rFonts w:ascii="Times New Roman" w:cs="Times New Roman" w:eastAsia="Times New Roman" w:hAnsi="Times New Roman"/>
                <w:sz w:val="17"/>
                <w:szCs w:val="17"/>
                <w:color w:val="auto"/>
              </w:rPr>
              <w:t>150,000</w:t>
            </w:r>
          </w:p>
        </w:tc>
        <w:tc>
          <w:tcPr>
            <w:tcW w:w="1200" w:type="dxa"/>
            <w:vAlign w:val="bottom"/>
            <w:tcBorders>
              <w:bottom w:val="single" w:sz="8" w:color="999999"/>
            </w:tcBorders>
          </w:tcPr>
          <w:p>
            <w:pPr>
              <w:ind w:left="7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999999"/>
            </w:tcBorders>
          </w:tcPr>
          <w:p>
            <w:pPr>
              <w:ind w:left="80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999999"/>
            </w:tcBorders>
          </w:tcPr>
          <w:p>
            <w:pPr>
              <w:ind w:left="660"/>
              <w:spacing w:after="0" w:line="191" w:lineRule="exact"/>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191"/>
        </w:trPr>
        <w:tc>
          <w:tcPr>
            <w:tcW w:w="498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Nina Matis</w:t>
            </w:r>
          </w:p>
        </w:tc>
        <w:tc>
          <w:tcPr>
            <w:tcW w:w="180" w:type="dxa"/>
            <w:vAlign w:val="bottom"/>
            <w:tcBorders>
              <w:bottom w:val="single" w:sz="8" w:color="999999"/>
            </w:tcBorders>
          </w:tcPr>
          <w:p>
            <w:pPr>
              <w:spacing w:after="0"/>
              <w:rPr>
                <w:sz w:val="16"/>
                <w:szCs w:val="16"/>
                <w:color w:val="auto"/>
              </w:rPr>
            </w:pPr>
          </w:p>
        </w:tc>
        <w:tc>
          <w:tcPr>
            <w:tcW w:w="1280" w:type="dxa"/>
            <w:vAlign w:val="bottom"/>
            <w:tcBorders>
              <w:bottom w:val="single" w:sz="8" w:color="999999"/>
            </w:tcBorders>
          </w:tcPr>
          <w:p>
            <w:pPr>
              <w:jc w:val="right"/>
              <w:ind w:right="245"/>
              <w:spacing w:after="0" w:line="191" w:lineRule="exact"/>
              <w:rPr>
                <w:sz w:val="20"/>
                <w:szCs w:val="20"/>
                <w:color w:val="auto"/>
              </w:rPr>
            </w:pPr>
            <w:r>
              <w:rPr>
                <w:rFonts w:ascii="Times New Roman" w:cs="Times New Roman" w:eastAsia="Times New Roman" w:hAnsi="Times New Roman"/>
                <w:sz w:val="17"/>
                <w:szCs w:val="17"/>
                <w:color w:val="auto"/>
              </w:rPr>
              <w:t>150,000</w:t>
            </w:r>
          </w:p>
        </w:tc>
        <w:tc>
          <w:tcPr>
            <w:tcW w:w="1200" w:type="dxa"/>
            <w:vAlign w:val="bottom"/>
            <w:tcBorders>
              <w:bottom w:val="single" w:sz="8" w:color="999999"/>
            </w:tcBorders>
          </w:tcPr>
          <w:p>
            <w:pPr>
              <w:ind w:left="7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999999"/>
            </w:tcBorders>
          </w:tcPr>
          <w:p>
            <w:pPr>
              <w:ind w:left="80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999999"/>
            </w:tcBorders>
          </w:tcPr>
          <w:p>
            <w:pPr>
              <w:ind w:left="660"/>
              <w:spacing w:after="0" w:line="191" w:lineRule="exact"/>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191"/>
        </w:trPr>
        <w:tc>
          <w:tcPr>
            <w:tcW w:w="498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Richard Lieb</w:t>
            </w:r>
          </w:p>
        </w:tc>
        <w:tc>
          <w:tcPr>
            <w:tcW w:w="180" w:type="dxa"/>
            <w:vAlign w:val="bottom"/>
            <w:tcBorders>
              <w:bottom w:val="single" w:sz="8" w:color="999999"/>
            </w:tcBorders>
          </w:tcPr>
          <w:p>
            <w:pPr>
              <w:spacing w:after="0"/>
              <w:rPr>
                <w:sz w:val="16"/>
                <w:szCs w:val="16"/>
                <w:color w:val="auto"/>
              </w:rPr>
            </w:pPr>
          </w:p>
        </w:tc>
        <w:tc>
          <w:tcPr>
            <w:tcW w:w="1280" w:type="dxa"/>
            <w:vAlign w:val="bottom"/>
            <w:tcBorders>
              <w:bottom w:val="single" w:sz="8" w:color="999999"/>
            </w:tcBorders>
          </w:tcPr>
          <w:p>
            <w:pPr>
              <w:jc w:val="right"/>
              <w:ind w:right="245"/>
              <w:spacing w:after="0" w:line="191" w:lineRule="exact"/>
              <w:rPr>
                <w:sz w:val="20"/>
                <w:szCs w:val="20"/>
                <w:color w:val="auto"/>
              </w:rPr>
            </w:pPr>
            <w:r>
              <w:rPr>
                <w:rFonts w:ascii="Times New Roman" w:cs="Times New Roman" w:eastAsia="Times New Roman" w:hAnsi="Times New Roman"/>
                <w:sz w:val="17"/>
                <w:szCs w:val="17"/>
                <w:color w:val="auto"/>
              </w:rPr>
              <w:t>150,000</w:t>
            </w:r>
          </w:p>
        </w:tc>
        <w:tc>
          <w:tcPr>
            <w:tcW w:w="1200" w:type="dxa"/>
            <w:vAlign w:val="bottom"/>
            <w:tcBorders>
              <w:bottom w:val="single" w:sz="8" w:color="999999"/>
            </w:tcBorders>
          </w:tcPr>
          <w:p>
            <w:pPr>
              <w:ind w:left="7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999999"/>
            </w:tcBorders>
          </w:tcPr>
          <w:p>
            <w:pPr>
              <w:ind w:left="80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999999"/>
            </w:tcBorders>
          </w:tcPr>
          <w:p>
            <w:pPr>
              <w:ind w:left="660"/>
              <w:spacing w:after="0" w:line="191" w:lineRule="exact"/>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80" w:right="60" w:hanging="379"/>
        <w:spacing w:after="0" w:line="250"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trustees are eligible to participate in our broad-based matching gifts program under which we will donate funds equal to contributions made by trustees to qualified nonprofit organizations, up to a maximum annual matching contribution per individual of $5,000 for trustees. Our trustees also are eligible for reimbursement of the costs of attending continuing trustee education programs. Amounts included in the “All Other Compensation” column include any matching gifts made by us on behalf of the trustee and any education costs reimbursed by us to the trustee.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12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60"/>
          </w:cols>
          <w:pgMar w:left="980" w:top="359"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306820"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Biographical information for our executive officers is set forth below:</w:t>
      </w:r>
    </w:p>
    <w:p>
      <w:pPr>
        <w:spacing w:after="0" w:line="13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b w:val="1"/>
          <w:bCs w:val="1"/>
          <w:color w:val="auto"/>
        </w:rPr>
        <w:t>Brett Asnas</w:t>
      </w:r>
      <w:r>
        <w:rPr>
          <w:rFonts w:ascii="Times New Roman" w:cs="Times New Roman" w:eastAsia="Times New Roman" w:hAnsi="Times New Roman"/>
          <w:sz w:val="17"/>
          <w:szCs w:val="17"/>
          <w:color w:val="auto"/>
        </w:rPr>
        <w:t>, age 42, currently serves as our and our Manager’s Chief Financial Officer since February 2022. He previously served as our Manager’s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Vice President and Head of Capital Markets since 2018. Mr.</w:t>
      </w:r>
      <w:r>
        <w:rPr>
          <w:rFonts w:ascii="Arial" w:cs="Arial" w:eastAsia="Arial" w:hAnsi="Arial"/>
          <w:sz w:val="17"/>
          <w:szCs w:val="17"/>
          <w:color w:val="auto"/>
        </w:rPr>
        <w:t> </w:t>
      </w:r>
      <w:r>
        <w:rPr>
          <w:rFonts w:ascii="Times New Roman" w:cs="Times New Roman" w:eastAsia="Times New Roman" w:hAnsi="Times New Roman"/>
          <w:sz w:val="17"/>
          <w:szCs w:val="17"/>
          <w:color w:val="auto"/>
        </w:rPr>
        <w:t>Asnas is responsible for overseeing capital markets, investor relations, treasury, finance, accounting, tax, strategy, information technology and ESG. He manages relationships across investment banks, investors and lenders, rating agencies and analysts. He directs the finance and accounting group’s budgeting, forecasting, management and performance reporting and strategic analysis. Mr.</w:t>
      </w:r>
      <w:r>
        <w:rPr>
          <w:rFonts w:ascii="Arial" w:cs="Arial" w:eastAsia="Arial" w:hAnsi="Arial"/>
          <w:sz w:val="17"/>
          <w:szCs w:val="17"/>
          <w:color w:val="auto"/>
        </w:rPr>
        <w:t> </w:t>
      </w:r>
      <w:r>
        <w:rPr>
          <w:rFonts w:ascii="Times New Roman" w:cs="Times New Roman" w:eastAsia="Times New Roman" w:hAnsi="Times New Roman"/>
          <w:sz w:val="17"/>
          <w:szCs w:val="17"/>
          <w:color w:val="auto"/>
        </w:rPr>
        <w:t>Asnas has vast experience in debt and equity capital markets across single asset, portfolio and corporate transactions. Mr.</w:t>
      </w:r>
      <w:r>
        <w:rPr>
          <w:rFonts w:ascii="Arial" w:cs="Arial" w:eastAsia="Arial" w:hAnsi="Arial"/>
          <w:sz w:val="17"/>
          <w:szCs w:val="17"/>
          <w:color w:val="auto"/>
        </w:rPr>
        <w:t> </w:t>
      </w:r>
      <w:r>
        <w:rPr>
          <w:rFonts w:ascii="Times New Roman" w:cs="Times New Roman" w:eastAsia="Times New Roman" w:hAnsi="Times New Roman"/>
          <w:sz w:val="17"/>
          <w:szCs w:val="17"/>
          <w:color w:val="auto"/>
        </w:rPr>
        <w:t>Asnas joined our Manager in 2008 and previously held positions in the real estate private equity business at Fortress Investment Group, the real estate investment banking division at Nomura Securities, as well as structured finance advisory at Ernst</w:t>
      </w:r>
      <w:r>
        <w:rPr>
          <w:rFonts w:ascii="Arial" w:cs="Arial" w:eastAsia="Arial" w:hAnsi="Arial"/>
          <w:sz w:val="17"/>
          <w:szCs w:val="17"/>
          <w:color w:val="auto"/>
        </w:rPr>
        <w:t> </w:t>
      </w:r>
      <w:r>
        <w:rPr>
          <w:rFonts w:ascii="Times New Roman" w:cs="Times New Roman" w:eastAsia="Times New Roman" w:hAnsi="Times New Roman"/>
          <w:sz w:val="17"/>
          <w:szCs w:val="17"/>
          <w:color w:val="auto"/>
        </w:rPr>
        <w:t>&amp; Young LLP. Mr.</w:t>
      </w:r>
      <w:r>
        <w:rPr>
          <w:rFonts w:ascii="Arial" w:cs="Arial" w:eastAsia="Arial" w:hAnsi="Arial"/>
          <w:sz w:val="17"/>
          <w:szCs w:val="17"/>
          <w:color w:val="auto"/>
        </w:rPr>
        <w:t> </w:t>
      </w:r>
      <w:r>
        <w:rPr>
          <w:rFonts w:ascii="Times New Roman" w:cs="Times New Roman" w:eastAsia="Times New Roman" w:hAnsi="Times New Roman"/>
          <w:sz w:val="17"/>
          <w:szCs w:val="17"/>
          <w:color w:val="auto"/>
        </w:rPr>
        <w:t>Asnas holds a B.S. degree in Finance from the School of Management at Binghamton University.</w:t>
      </w:r>
    </w:p>
    <w:p>
      <w:pPr>
        <w:spacing w:after="0" w:line="11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7"/>
          <w:szCs w:val="17"/>
          <w:b w:val="1"/>
          <w:bCs w:val="1"/>
          <w:color w:val="auto"/>
        </w:rPr>
        <w:t>Michael Trachtenberg</w:t>
      </w:r>
      <w:r>
        <w:rPr>
          <w:rFonts w:ascii="Times New Roman" w:cs="Times New Roman" w:eastAsia="Times New Roman" w:hAnsi="Times New Roman"/>
          <w:sz w:val="17"/>
          <w:szCs w:val="17"/>
          <w:color w:val="auto"/>
        </w:rPr>
        <w:t>, age 43, joined our Manager during the fourth quarter of 2025 and currently serves as our and our Manager’s 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Mr. Trachtenberg is a member of our and our Manager’s executive team and is responsible for the strategic and operational aspects of our and our Manager’s business. Mr. Trachtenberg has more than two decades of operational and real estate experience. Mr. Trachtenberg previously held positions at Lubert-Adler, an institutional real estate investment Manager, from 2005 until February 2025, including most recently as President from 2024 and Managing Partner from 2020. From February 2025 until December 2025, he served as a consultant for Lubert-Adler. Mr. Trachtenberg holds a B.S. in Finance and Accounting from New York University.</w:t>
      </w:r>
    </w:p>
    <w:p>
      <w:pPr>
        <w:spacing w:after="0" w:line="17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b w:val="1"/>
          <w:bCs w:val="1"/>
          <w:color w:val="auto"/>
        </w:rPr>
        <w:t>Jay Sugarman</w:t>
      </w:r>
      <w:r>
        <w:rPr>
          <w:rFonts w:ascii="Times New Roman" w:cs="Times New Roman" w:eastAsia="Times New Roman" w:hAnsi="Times New Roman"/>
          <w:sz w:val="17"/>
          <w:szCs w:val="17"/>
          <w:color w:val="auto"/>
        </w:rPr>
        <w:t>, age 63, is our Manager’s Chairman and Chief Executive Officer and our Chief Executive Officer. He has served as a member of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Manager’s Board since 1996, as our Manager’s Chief Executive Officer since 1997, and as our Manager’s Chairman and Chief Executive Officer of Safehold Inc. from 2017 until consummation of the Merger. Prior to forming our Manager, he managed private investment funds on behalf of the Burden family (a branch of the Vanderbilt family) and the Ziff family. Mr.</w:t>
      </w:r>
      <w:r>
        <w:rPr>
          <w:rFonts w:ascii="Arial" w:cs="Arial" w:eastAsia="Arial" w:hAnsi="Arial"/>
          <w:sz w:val="17"/>
          <w:szCs w:val="17"/>
          <w:color w:val="auto"/>
        </w:rPr>
        <w:t> </w:t>
      </w:r>
      <w:r>
        <w:rPr>
          <w:rFonts w:ascii="Times New Roman" w:cs="Times New Roman" w:eastAsia="Times New Roman" w:hAnsi="Times New Roman"/>
          <w:sz w:val="17"/>
          <w:szCs w:val="17"/>
          <w:color w:val="auto"/>
        </w:rPr>
        <w:t xml:space="preserve">Sugarman received an undergraduate degree </w:t>
      </w:r>
      <w:r>
        <w:rPr>
          <w:rFonts w:ascii="Times New Roman" w:cs="Times New Roman" w:eastAsia="Times New Roman" w:hAnsi="Times New Roman"/>
          <w:sz w:val="17"/>
          <w:szCs w:val="17"/>
          <w:i w:val="1"/>
          <w:iCs w:val="1"/>
          <w:color w:val="auto"/>
        </w:rPr>
        <w:t>summa cum laude</w:t>
      </w:r>
      <w:r>
        <w:rPr>
          <w:rFonts w:ascii="Times New Roman" w:cs="Times New Roman" w:eastAsia="Times New Roman" w:hAnsi="Times New Roman"/>
          <w:sz w:val="17"/>
          <w:szCs w:val="17"/>
          <w:color w:val="auto"/>
        </w:rPr>
        <w:t xml:space="preserve"> from Princeton University, where he was nominated for valedictorian and received the Paul Volcker Award in Economics, and a M.B.A. with high distinction from Harvard Business School, graduating as a Baker Scholar and recipient of the Loeb Award in Finance and the Copeland Award and Gillette Prize in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Star Holdings 2026 Proxy Statement | </w:t>
      </w:r>
      <w:r>
        <w:rPr>
          <w:rFonts w:ascii="Times New Roman" w:cs="Times New Roman" w:eastAsia="Times New Roman" w:hAnsi="Times New Roman"/>
          <w:sz w:val="17"/>
          <w:szCs w:val="17"/>
          <w:b w:val="1"/>
          <w:bCs w:val="1"/>
          <w:color w:val="1D4E8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6306820"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607695" cy="1104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695" cy="11049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30682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24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trustees and executive officers. These agreements provide that we will indemnify the individual indemnitee to the fullest extent permitted by our charter and Maryland law against certain liabilities (including settlements) and expenses actually and reasonably incurred by them in connection with any threatened or pending legal actions, proceedings and investigations to which they are made a party because of their status as a trustee, officer or agent of the Company, or because they serve as a trustee, officer or agent of another company at the Company’s request.</w:t>
      </w:r>
    </w:p>
    <w:p>
      <w:pPr>
        <w:spacing w:after="0" w:line="11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To supplement these indemnification provisions, we have obtained trustees and officers liability insurance, which covers our trustees and executive officers.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14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6820" cy="1587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84" w:lineRule="exact"/>
        <w:rPr>
          <w:sz w:val="20"/>
          <w:szCs w:val="20"/>
          <w:color w:val="auto"/>
        </w:rPr>
      </w:pPr>
    </w:p>
    <w:p>
      <w:pPr>
        <w:ind w:right="1680"/>
        <w:spacing w:after="0" w:line="286" w:lineRule="auto"/>
        <w:rPr>
          <w:sz w:val="20"/>
          <w:szCs w:val="20"/>
          <w:color w:val="auto"/>
        </w:rPr>
      </w:pPr>
      <w:r>
        <w:rPr>
          <w:rFonts w:ascii="Times New Roman" w:cs="Times New Roman" w:eastAsia="Times New Roman" w:hAnsi="Times New Roman"/>
          <w:sz w:val="39"/>
          <w:szCs w:val="39"/>
          <w:b w:val="1"/>
          <w:bCs w:val="1"/>
          <w:color w:val="1D4E8F"/>
        </w:rPr>
        <w:t>Proposal 2</w:t>
      </w:r>
      <w:r>
        <w:rPr>
          <w:rFonts w:ascii="Arial" w:cs="Arial" w:eastAsia="Arial" w:hAnsi="Arial"/>
          <w:sz w:val="39"/>
          <w:szCs w:val="39"/>
          <w:b w:val="1"/>
          <w:bCs w:val="1"/>
          <w:color w:val="1D4E8F"/>
        </w:rPr>
        <w:t xml:space="preserve"> </w:t>
      </w:r>
      <w:r>
        <w:rPr>
          <w:rFonts w:ascii="Times New Roman" w:cs="Times New Roman" w:eastAsia="Times New Roman" w:hAnsi="Times New Roman"/>
          <w:sz w:val="39"/>
          <w:szCs w:val="39"/>
          <w:b w:val="1"/>
          <w:bCs w:val="1"/>
          <w:color w:val="1D4E8F"/>
        </w:rPr>
        <w:t>—</w:t>
      </w:r>
      <w:r>
        <w:rPr>
          <w:rFonts w:ascii="Arial" w:cs="Arial" w:eastAsia="Arial" w:hAnsi="Arial"/>
          <w:sz w:val="39"/>
          <w:szCs w:val="39"/>
          <w:b w:val="1"/>
          <w:bCs w:val="1"/>
          <w:color w:val="1D4E8F"/>
        </w:rPr>
        <w:t xml:space="preserve"> </w:t>
      </w:r>
      <w:r>
        <w:rPr>
          <w:rFonts w:ascii="Times New Roman" w:cs="Times New Roman" w:eastAsia="Times New Roman" w:hAnsi="Times New Roman"/>
          <w:sz w:val="39"/>
          <w:szCs w:val="39"/>
          <w:b w:val="1"/>
          <w:bCs w:val="1"/>
          <w:color w:val="1D4E8F"/>
        </w:rPr>
        <w:t>Ratification of the Appointment of Independent Registered Public Accounting Firm</w:t>
      </w:r>
    </w:p>
    <w:p>
      <w:pPr>
        <w:spacing w:after="0" w:line="7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The Audit Committee of the Board of Trustees, with the concurrence of the Board, has selected Deloitte &amp; Touche LLP to be our independent registered public accounting firm for the fiscal year ending December 31, 2026. Our governing documents do not require stockholder ratification of the Audit Committee’s selection of independent registered public accounting firm, however, the Board is submitting the selection of independent registered public accounting firm to the stockholders for ratification. We expect a representative of Deloitte &amp; Touche LLP, or Deloitte, to attend the 2026 Annual Meeting. The representative may make a statement, and will respond to appropriate questions.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Accounting Fees and Services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Fees paid to Deloitte, our independent registered public accounting firm for the fiscal year ended December 31, 2025 and 2024,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0" w:type="dxa"/>
            <w:vAlign w:val="bottom"/>
            <w:tcBorders>
              <w:bottom w:val="single" w:sz="8" w:color="1D4E8F"/>
            </w:tcBorders>
          </w:tcPr>
          <w:p>
            <w:pPr>
              <w:spacing w:after="0"/>
              <w:rPr>
                <w:sz w:val="20"/>
                <w:szCs w:val="20"/>
                <w:color w:val="auto"/>
              </w:rPr>
            </w:pPr>
            <w:r>
              <w:rPr>
                <w:rFonts w:ascii="Times New Roman" w:cs="Times New Roman" w:eastAsia="Times New Roman" w:hAnsi="Times New Roman"/>
                <w:sz w:val="13"/>
                <w:szCs w:val="13"/>
                <w:color w:val="auto"/>
              </w:rPr>
              <w:t>Type of fee</w:t>
            </w:r>
          </w:p>
        </w:tc>
        <w:tc>
          <w:tcPr>
            <w:tcW w:w="3440" w:type="dxa"/>
            <w:vAlign w:val="bottom"/>
            <w:tcBorders>
              <w:bottom w:val="single" w:sz="8" w:color="1D4E8F"/>
            </w:tcBorders>
          </w:tcPr>
          <w:p>
            <w:pPr>
              <w:jc w:val="right"/>
              <w:ind w:right="28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1D4E8F"/>
            </w:tcBorders>
          </w:tcPr>
          <w:p>
            <w:pPr>
              <w:jc w:val="right"/>
              <w:ind w:right="360"/>
              <w:spacing w:after="0"/>
              <w:rPr>
                <w:sz w:val="20"/>
                <w:szCs w:val="20"/>
                <w:color w:val="auto"/>
              </w:rPr>
            </w:pPr>
            <w:r>
              <w:rPr>
                <w:rFonts w:ascii="Times New Roman" w:cs="Times New Roman" w:eastAsia="Times New Roman" w:hAnsi="Times New Roman"/>
                <w:sz w:val="13"/>
                <w:szCs w:val="13"/>
                <w:color w:val="auto"/>
              </w:rPr>
              <w:t>2025</w:t>
            </w:r>
          </w:p>
        </w:tc>
        <w:tc>
          <w:tcPr>
            <w:tcW w:w="500" w:type="dxa"/>
            <w:vAlign w:val="bottom"/>
            <w:tcBorders>
              <w:bottom w:val="single" w:sz="8" w:color="1D4E8F"/>
            </w:tcBorders>
          </w:tcPr>
          <w:p>
            <w:pPr>
              <w:jc w:val="right"/>
              <w:ind w:right="26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1D4E8F"/>
            </w:tcBorders>
          </w:tcPr>
          <w:p>
            <w:pPr>
              <w:jc w:val="right"/>
              <w:ind w:right="360"/>
              <w:spacing w:after="0"/>
              <w:rPr>
                <w:sz w:val="20"/>
                <w:szCs w:val="20"/>
                <w:color w:val="auto"/>
              </w:rPr>
            </w:pPr>
            <w:r>
              <w:rPr>
                <w:rFonts w:ascii="Times New Roman" w:cs="Times New Roman" w:eastAsia="Times New Roman" w:hAnsi="Times New Roman"/>
                <w:sz w:val="13"/>
                <w:szCs w:val="13"/>
                <w:color w:val="auto"/>
              </w:rPr>
              <w:t>2024</w:t>
            </w:r>
          </w:p>
        </w:tc>
      </w:tr>
      <w:tr>
        <w:trPr>
          <w:trHeight w:val="191"/>
        </w:trPr>
        <w:tc>
          <w:tcPr>
            <w:tcW w:w="420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Audit fees</w:t>
            </w:r>
          </w:p>
        </w:tc>
        <w:tc>
          <w:tcPr>
            <w:tcW w:w="3440" w:type="dxa"/>
            <w:vAlign w:val="bottom"/>
            <w:tcBorders>
              <w:bottom w:val="single" w:sz="8" w:color="999999"/>
            </w:tcBorders>
          </w:tcPr>
          <w:p>
            <w:pPr>
              <w:jc w:val="right"/>
              <w:ind w:right="103"/>
              <w:spacing w:after="0" w:line="191"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456,800</w:t>
            </w:r>
          </w:p>
        </w:tc>
        <w:tc>
          <w:tcPr>
            <w:tcW w:w="500" w:type="dxa"/>
            <w:vAlign w:val="bottom"/>
            <w:tcBorders>
              <w:bottom w:val="single" w:sz="8" w:color="999999"/>
            </w:tcBorders>
          </w:tcPr>
          <w:p>
            <w:pPr>
              <w:jc w:val="right"/>
              <w:ind w:right="103"/>
              <w:spacing w:after="0" w:line="191"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421,000</w:t>
            </w:r>
          </w:p>
        </w:tc>
      </w:tr>
      <w:tr>
        <w:trPr>
          <w:trHeight w:val="191"/>
        </w:trPr>
        <w:tc>
          <w:tcPr>
            <w:tcW w:w="420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Audit-related fees</w:t>
            </w:r>
          </w:p>
        </w:tc>
        <w:tc>
          <w:tcPr>
            <w:tcW w:w="3440" w:type="dxa"/>
            <w:vAlign w:val="bottom"/>
            <w:tcBorders>
              <w:bottom w:val="single" w:sz="8" w:color="999999"/>
            </w:tcBorders>
          </w:tcPr>
          <w:p>
            <w:pPr>
              <w:spacing w:after="0"/>
              <w:rPr>
                <w:sz w:val="16"/>
                <w:szCs w:val="16"/>
                <w:color w:val="auto"/>
              </w:rPr>
            </w:pPr>
          </w:p>
        </w:tc>
        <w:tc>
          <w:tcPr>
            <w:tcW w:w="88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999999"/>
            </w:tcBorders>
          </w:tcPr>
          <w:p>
            <w:pPr>
              <w:spacing w:after="0"/>
              <w:rPr>
                <w:sz w:val="16"/>
                <w:szCs w:val="16"/>
                <w:color w:val="auto"/>
              </w:rPr>
            </w:pPr>
          </w:p>
        </w:tc>
        <w:tc>
          <w:tcPr>
            <w:tcW w:w="90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r>
      <w:tr>
        <w:trPr>
          <w:trHeight w:val="191"/>
        </w:trPr>
        <w:tc>
          <w:tcPr>
            <w:tcW w:w="420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Tax fees</w:t>
            </w:r>
          </w:p>
        </w:tc>
        <w:tc>
          <w:tcPr>
            <w:tcW w:w="3440" w:type="dxa"/>
            <w:vAlign w:val="bottom"/>
            <w:tcBorders>
              <w:bottom w:val="single" w:sz="8" w:color="999999"/>
            </w:tcBorders>
          </w:tcPr>
          <w:p>
            <w:pPr>
              <w:spacing w:after="0"/>
              <w:rPr>
                <w:sz w:val="16"/>
                <w:szCs w:val="16"/>
                <w:color w:val="auto"/>
              </w:rPr>
            </w:pPr>
          </w:p>
        </w:tc>
        <w:tc>
          <w:tcPr>
            <w:tcW w:w="88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78,819</w:t>
            </w:r>
          </w:p>
        </w:tc>
        <w:tc>
          <w:tcPr>
            <w:tcW w:w="500" w:type="dxa"/>
            <w:vAlign w:val="bottom"/>
            <w:tcBorders>
              <w:bottom w:val="single" w:sz="8" w:color="999999"/>
            </w:tcBorders>
          </w:tcPr>
          <w:p>
            <w:pPr>
              <w:spacing w:after="0"/>
              <w:rPr>
                <w:sz w:val="16"/>
                <w:szCs w:val="16"/>
                <w:color w:val="auto"/>
              </w:rPr>
            </w:pPr>
          </w:p>
        </w:tc>
        <w:tc>
          <w:tcPr>
            <w:tcW w:w="90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45,850</w:t>
            </w:r>
          </w:p>
        </w:tc>
      </w:tr>
      <w:tr>
        <w:trPr>
          <w:trHeight w:val="191"/>
        </w:trPr>
        <w:tc>
          <w:tcPr>
            <w:tcW w:w="4200" w:type="dxa"/>
            <w:vAlign w:val="bottom"/>
            <w:tcBorders>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All other fees</w:t>
            </w:r>
          </w:p>
        </w:tc>
        <w:tc>
          <w:tcPr>
            <w:tcW w:w="3440" w:type="dxa"/>
            <w:vAlign w:val="bottom"/>
            <w:tcBorders>
              <w:bottom w:val="single" w:sz="8" w:color="999999"/>
            </w:tcBorders>
          </w:tcPr>
          <w:p>
            <w:pPr>
              <w:spacing w:after="0"/>
              <w:rPr>
                <w:sz w:val="16"/>
                <w:szCs w:val="16"/>
                <w:color w:val="auto"/>
              </w:rPr>
            </w:pPr>
          </w:p>
        </w:tc>
        <w:tc>
          <w:tcPr>
            <w:tcW w:w="88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999999"/>
            </w:tcBorders>
          </w:tcPr>
          <w:p>
            <w:pPr>
              <w:spacing w:after="0"/>
              <w:rPr>
                <w:sz w:val="16"/>
                <w:szCs w:val="16"/>
                <w:color w:val="auto"/>
              </w:rPr>
            </w:pPr>
          </w:p>
        </w:tc>
        <w:tc>
          <w:tcPr>
            <w:tcW w:w="90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r>
      <w:tr>
        <w:trPr>
          <w:trHeight w:val="191"/>
        </w:trPr>
        <w:tc>
          <w:tcPr>
            <w:tcW w:w="4200" w:type="dxa"/>
            <w:vAlign w:val="bottom"/>
            <w:tcBorders>
              <w:bottom w:val="single" w:sz="8" w:color="1D4E8F"/>
            </w:tcBorders>
          </w:tcPr>
          <w:p>
            <w:pPr>
              <w:spacing w:after="0" w:line="191" w:lineRule="exact"/>
              <w:rPr>
                <w:sz w:val="20"/>
                <w:szCs w:val="20"/>
                <w:color w:val="auto"/>
              </w:rPr>
            </w:pPr>
            <w:r>
              <w:rPr>
                <w:rFonts w:ascii="Times New Roman" w:cs="Times New Roman" w:eastAsia="Times New Roman" w:hAnsi="Times New Roman"/>
                <w:sz w:val="17"/>
                <w:szCs w:val="17"/>
                <w:color w:val="auto"/>
              </w:rPr>
              <w:t>Total fees</w:t>
            </w:r>
          </w:p>
        </w:tc>
        <w:tc>
          <w:tcPr>
            <w:tcW w:w="3440" w:type="dxa"/>
            <w:vAlign w:val="bottom"/>
            <w:tcBorders>
              <w:bottom w:val="single" w:sz="8" w:color="1D4E8F"/>
            </w:tcBorders>
          </w:tcPr>
          <w:p>
            <w:pPr>
              <w:jc w:val="right"/>
              <w:ind w:right="103"/>
              <w:spacing w:after="0" w:line="191"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1D4E8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535,619</w:t>
            </w:r>
          </w:p>
        </w:tc>
        <w:tc>
          <w:tcPr>
            <w:tcW w:w="500" w:type="dxa"/>
            <w:vAlign w:val="bottom"/>
            <w:tcBorders>
              <w:bottom w:val="single" w:sz="8" w:color="1D4E8F"/>
            </w:tcBorders>
          </w:tcPr>
          <w:p>
            <w:pPr>
              <w:jc w:val="right"/>
              <w:ind w:right="103"/>
              <w:spacing w:after="0" w:line="191"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1D4E8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466,850</w:t>
            </w: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4E8F"/>
        </w:rPr>
        <w:t>Audit Fees</w:t>
      </w:r>
    </w:p>
    <w:p>
      <w:pPr>
        <w:spacing w:after="0" w:line="20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7"/>
          <w:szCs w:val="17"/>
          <w:color w:val="auto"/>
        </w:rPr>
        <w:t>These fees were incurred for professional services rendered in connection with integrated audits of our consolidated financial statements and our internal control over financial reporting, limited reviews of our unaudited consolidated interim financial statements and comfort letters.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4E8F"/>
        </w:rPr>
        <w:t>Audit-Related Fees</w:t>
      </w:r>
    </w:p>
    <w:p>
      <w:pPr>
        <w:spacing w:after="0" w:line="20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The 2025 fees were incurred for assurance and related services that are reasonably related to the performance of the audit or review of our financial statements and are not disclosed under “Audit Fees.”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4E8F"/>
        </w:rPr>
        <w:t>Tax Fees</w:t>
      </w:r>
    </w:p>
    <w:p>
      <w:pPr>
        <w:spacing w:after="0" w:line="20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These fees were incurred for professional services rendered in connection with tax compliance, tax advice, and tax planning. These services included income tax compliance and related tax services.</w:t>
      </w:r>
    </w:p>
    <w:p>
      <w:pPr>
        <w:spacing w:after="0" w:line="9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Our Audit Committee is responsible for retaining and terminating our independent registered public accounting firm and for approving the performance of any non-audit services by the independent registered public accounting firm. In addition, the Audit Committee is responsible for reviewing and evaluating the qualifications, performance, and independence of the lead partner of the independent registered public accounting firm and for presenting its conclusions on those matters to the full Board.</w:t>
      </w:r>
    </w:p>
    <w:p>
      <w:pPr>
        <w:spacing w:after="0" w:line="9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The Audit Committee has the sole authority to approve all audit engagement fees and terms, as well as significant non-audit services, involving the independent registered public accounting firm. During fiscal 2025, the Audit Committee approved all audit engagement fees and terms involving Deloitte, as well as all significant non-audit services performed by Deloitte.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4E8F"/>
        </w:rPr>
        <w:t>Pre-Approval Policies and Procedures</w:t>
      </w:r>
    </w:p>
    <w:p>
      <w:pPr>
        <w:spacing w:after="0" w:line="2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In accordance with its charter and applicable rules and regulations adopted by the SEC, our Audit Committee reviews and pre-approves any engagement of the independent registered public accounting firm to provide audit, review or attest services or non-audit services and the fees for any such services, unless the engagement is entered into pursuant to appropriate pre-approval policies established by the Audit Committee or if such service falls within available exceptions under SEC rules.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Star Holdings 2026 Proxy Statement | </w:t>
      </w:r>
      <w:r>
        <w:rPr>
          <w:rFonts w:ascii="Times New Roman" w:cs="Times New Roman" w:eastAsia="Times New Roman" w:hAnsi="Times New Roman"/>
          <w:sz w:val="17"/>
          <w:szCs w:val="17"/>
          <w:b w:val="1"/>
          <w:bCs w:val="1"/>
          <w:color w:val="1D4E8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6306820"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607695"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Proposal 2 — Ratification of the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D4E8F"/>
        </w:rPr>
        <w:t>Required Vote</w:t>
      </w:r>
    </w:p>
    <w:p>
      <w:pPr>
        <w:spacing w:after="0" w:line="20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Shareholder ratification of the appointment of Deloitte as our independent registered public accounting firm is not required by our bylaws or otherwise. However, the Board is submitting the selection of Deloitte to shareholder for ratification as a matter of good corporate governance practice. Furthermore, the Audit Committee will take the results of the shareholder vote regarding Deloitte’s appointment into consideration in future deliberations. Even if the selection is ratified, the Audit Committee, in its discretion, may direct the appointment of a different independent registered public accounting firm at any time during the year if it determines that such a change would be in the best interests of the Company. Ratification of the appointment of Deloitte as our independent registered public accounting firm for the fiscal year ending December 31, 2026 will require the affirmative vote of a majority of all the votes cast at the 2026 Annual Meeting at which a quorum is present. For purposes of this vote, abstentions will not be counted as votes cast and will have no effect on the result of the vote, although they will be considered present for the purpose of determining the presence of a quorum. Because brokers have discretionary voting authority with regard to this proposal under the rules of the Nasdaq, we do not expect any broker non-votes in connection with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629856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59" w:lineRule="exact"/>
        <w:rPr>
          <w:sz w:val="20"/>
          <w:szCs w:val="20"/>
          <w:color w:val="auto"/>
        </w:rPr>
      </w:pPr>
    </w:p>
    <w:p>
      <w:pPr>
        <w:ind w:left="820" w:right="40"/>
        <w:spacing w:after="0" w:line="281" w:lineRule="auto"/>
        <w:rPr>
          <w:sz w:val="20"/>
          <w:szCs w:val="20"/>
          <w:color w:val="auto"/>
        </w:rPr>
      </w:pPr>
      <w:r>
        <w:rPr>
          <w:rFonts w:ascii="Times New Roman" w:cs="Times New Roman" w:eastAsia="Times New Roman" w:hAnsi="Times New Roman"/>
          <w:sz w:val="17"/>
          <w:szCs w:val="17"/>
          <w:color w:val="auto"/>
        </w:rPr>
        <w:t xml:space="preserve">The Board recommends that you vote </w:t>
      </w:r>
      <w:r>
        <w:rPr>
          <w:rFonts w:ascii="Times New Roman" w:cs="Times New Roman" w:eastAsia="Times New Roman" w:hAnsi="Times New Roman"/>
          <w:sz w:val="23"/>
          <w:szCs w:val="23"/>
          <w:color w:val="1D4E8F"/>
        </w:rPr>
        <w:t>FOR</w:t>
      </w:r>
      <w:r>
        <w:rPr>
          <w:rFonts w:ascii="Times New Roman" w:cs="Times New Roman" w:eastAsia="Times New Roman" w:hAnsi="Times New Roman"/>
          <w:sz w:val="17"/>
          <w:szCs w:val="17"/>
          <w:color w:val="auto"/>
        </w:rPr>
        <w:t xml:space="preserve"> ratification of the appointment of Deloitte &amp; Touche LLP, to be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29856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856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-280670</wp:posOffset>
            </wp:positionV>
            <wp:extent cx="252730" cy="2133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2730" cy="21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16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00"/>
          </w:cols>
          <w:pgMar w:left="980" w:top="359"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306820"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24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7"/>
          <w:szCs w:val="17"/>
          <w:color w:val="auto"/>
        </w:rPr>
        <w:t xml:space="preserve">The Audit Committee oversees the financial reporting process of Star Holdings on behalf of the board of trustees in accordance with our charter. The board has determined that all members of the Audit Committee meet the independence requirements of both the Securities and Exchange Commission, or SEC, and Nasdaq. The board also has determined that Mr. De Souza, member of the Audit Committee, is an “audit committee financial expert” within the meaning of the SEC rules, and that each member of our Audit Committee is financially literate, as interpreted by the board of trustees in its business judgment. We operate under a written charter approved by the board, consistent with the corporate governance rules issued by the SEC and the Nasdaq. The Audit Committee charter is available on Star Holdings website at </w:t>
      </w:r>
      <w:r>
        <w:rPr>
          <w:rFonts w:ascii="Times New Roman" w:cs="Times New Roman" w:eastAsia="Times New Roman" w:hAnsi="Times New Roman"/>
          <w:sz w:val="17"/>
          <w:szCs w:val="17"/>
          <w:color w:val="1D4E8F"/>
        </w:rPr>
        <w:t>https://www.starholdingsco.com/</w:t>
      </w:r>
      <w:r>
        <w:rPr>
          <w:rFonts w:ascii="Times New Roman" w:cs="Times New Roman" w:eastAsia="Times New Roman" w:hAnsi="Times New Roman"/>
          <w:sz w:val="17"/>
          <w:szCs w:val="17"/>
          <w:color w:val="auto"/>
        </w:rPr>
        <w:t xml:space="preserve"> (under “Corporate Governance” and then “Governance Overview”) and will be provided in print, without charge, to any shareholder who requests a copy.</w:t>
      </w:r>
    </w:p>
    <w:p>
      <w:pPr>
        <w:spacing w:after="0" w:line="69"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6"/>
          <w:szCs w:val="16"/>
          <w:color w:val="auto"/>
        </w:rPr>
        <w:t>The Company’s management is responsible for executing the financial reporting process and preparing the quarterly and annual consolidated financial statements, including maintaining a system of internal controls over financial reporting, as well as disclosure controls and procedures.</w:t>
      </w:r>
    </w:p>
    <w:p>
      <w:pPr>
        <w:spacing w:after="0" w:line="2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7"/>
          <w:szCs w:val="17"/>
          <w:color w:val="auto"/>
        </w:rPr>
        <w:t>The Audit Committee is directly responsible for the appointment, compensation, retention, oversight, and termination of the external auditors. The Audit Committee has appointed Deloitte &amp; Touche LLP, or Deloitte, an independent registered public accounting firm, to audit the Company’s consolidated financial statements for the year ending December</w:t>
      </w:r>
      <w:r>
        <w:rPr>
          <w:rFonts w:ascii="Arial" w:cs="Arial" w:eastAsia="Arial" w:hAnsi="Arial"/>
          <w:sz w:val="17"/>
          <w:szCs w:val="17"/>
          <w:color w:val="auto"/>
        </w:rPr>
        <w:t> </w:t>
      </w:r>
      <w:r>
        <w:rPr>
          <w:rFonts w:ascii="Times New Roman" w:cs="Times New Roman" w:eastAsia="Times New Roman" w:hAnsi="Times New Roman"/>
          <w:sz w:val="17"/>
          <w:szCs w:val="17"/>
          <w:color w:val="auto"/>
        </w:rPr>
        <w:t>31, 2026.</w:t>
      </w:r>
    </w:p>
    <w:p>
      <w:pPr>
        <w:spacing w:after="0" w:line="4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The independent registered public accounting firm is responsible for auditing the annual consolidated financial statements and expressing an opinion whether those financial statements conform to generally accepted accounting principles in the United States. As part of the audit of the financial statements, the independent registered public accounting firm is required to obtain an understanding of the Company’s internal control over financial reporting, but not for the purpose of expressing an opinion on the effectiveness of the Company's internal control over financial reporting. The Audit Committee also approved the engagement of an accounting firm to assist management in preparing documentation, testing and evaluating internal controls over financial reporting, and reviewing the performance of those controls. The Audit Committee does not prepare financial statements or conduct audits.</w:t>
      </w:r>
    </w:p>
    <w:p>
      <w:pPr>
        <w:spacing w:after="0" w:line="6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The Company had appointed Deloitte to audit the Company’s consolidated financial statements for the year ending December</w:t>
      </w:r>
      <w:r>
        <w:rPr>
          <w:rFonts w:ascii="Arial" w:cs="Arial" w:eastAsia="Arial" w:hAnsi="Arial"/>
          <w:sz w:val="17"/>
          <w:szCs w:val="17"/>
          <w:color w:val="auto"/>
        </w:rPr>
        <w:t> </w:t>
      </w:r>
      <w:r>
        <w:rPr>
          <w:rFonts w:ascii="Times New Roman" w:cs="Times New Roman" w:eastAsia="Times New Roman" w:hAnsi="Times New Roman"/>
          <w:sz w:val="17"/>
          <w:szCs w:val="17"/>
          <w:color w:val="auto"/>
        </w:rPr>
        <w:t>31, 2025. In its capacity as the Company’s independent registered public accounting firm for 2025, Deloitte issued a report on the consolidated financial statements as of and for the year ended December</w:t>
      </w:r>
      <w:r>
        <w:rPr>
          <w:rFonts w:ascii="Arial" w:cs="Arial" w:eastAsia="Arial" w:hAnsi="Arial"/>
          <w:sz w:val="17"/>
          <w:szCs w:val="17"/>
          <w:color w:val="auto"/>
        </w:rPr>
        <w:t> </w:t>
      </w:r>
      <w:r>
        <w:rPr>
          <w:rFonts w:ascii="Times New Roman" w:cs="Times New Roman" w:eastAsia="Times New Roman" w:hAnsi="Times New Roman"/>
          <w:sz w:val="17"/>
          <w:szCs w:val="17"/>
          <w:color w:val="auto"/>
        </w:rPr>
        <w:t>31, 2025. In connection with the December</w:t>
      </w:r>
      <w:r>
        <w:rPr>
          <w:rFonts w:ascii="Arial" w:cs="Arial" w:eastAsia="Arial" w:hAnsi="Arial"/>
          <w:sz w:val="17"/>
          <w:szCs w:val="17"/>
          <w:color w:val="auto"/>
        </w:rPr>
        <w:t> </w:t>
      </w:r>
      <w:r>
        <w:rPr>
          <w:rFonts w:ascii="Times New Roman" w:cs="Times New Roman" w:eastAsia="Times New Roman" w:hAnsi="Times New Roman"/>
          <w:sz w:val="17"/>
          <w:szCs w:val="17"/>
          <w:color w:val="auto"/>
        </w:rPr>
        <w:t>31, 2025, audited consolidated financial statements, the Audit Committee:</w:t>
      </w:r>
    </w:p>
    <w:p>
      <w:pPr>
        <w:spacing w:after="0" w:line="51" w:lineRule="exact"/>
        <w:rPr>
          <w:sz w:val="20"/>
          <w:szCs w:val="20"/>
          <w:color w:val="auto"/>
        </w:rPr>
      </w:pPr>
    </w:p>
    <w:p>
      <w:pPr>
        <w:ind w:left="1200" w:right="80" w:hanging="603"/>
        <w:spacing w:after="0" w:line="266" w:lineRule="auto"/>
        <w:tabs>
          <w:tab w:leader="none" w:pos="1200" w:val="left"/>
        </w:tabs>
        <w:numPr>
          <w:ilvl w:val="0"/>
          <w:numId w:val="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reviewed and discussed with management and the independent registered public accounting firm the Company’s internal controls over financial reporting, including a review of management’s and the independent registered public accounting firm’s understanding of the Company’s internal controls over financial reporting and any significant deficiencies or material weaknesses;</w:t>
      </w:r>
    </w:p>
    <w:p>
      <w:pPr>
        <w:spacing w:after="0" w:line="34" w:lineRule="exact"/>
        <w:rPr>
          <w:rFonts w:ascii="MS PGothic" w:cs="MS PGothic" w:eastAsia="MS PGothic" w:hAnsi="MS PGothic"/>
          <w:sz w:val="16"/>
          <w:szCs w:val="16"/>
          <w:color w:val="auto"/>
        </w:rPr>
      </w:pPr>
    </w:p>
    <w:p>
      <w:pPr>
        <w:ind w:left="1200" w:right="120" w:hanging="603"/>
        <w:spacing w:after="0" w:line="266" w:lineRule="auto"/>
        <w:tabs>
          <w:tab w:leader="none" w:pos="1200" w:val="left"/>
        </w:tabs>
        <w:numPr>
          <w:ilvl w:val="0"/>
          <w:numId w:val="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reviewed and discussed with management and the independent registered public accounting firm the Company’s audited financial statements, including discussions regarding critical accounting policies, other appropriate financial accounting and reporting principles and practices, the quality of such principles and practices, and the reasonableness of significant judgments;</w:t>
      </w:r>
    </w:p>
    <w:p>
      <w:pPr>
        <w:spacing w:after="0" w:line="34" w:lineRule="exact"/>
        <w:rPr>
          <w:rFonts w:ascii="MS PGothic" w:cs="MS PGothic" w:eastAsia="MS PGothic" w:hAnsi="MS PGothic"/>
          <w:sz w:val="16"/>
          <w:szCs w:val="16"/>
          <w:color w:val="auto"/>
        </w:rPr>
      </w:pPr>
    </w:p>
    <w:p>
      <w:pPr>
        <w:ind w:left="1200" w:right="420" w:hanging="603"/>
        <w:spacing w:after="0" w:line="254" w:lineRule="auto"/>
        <w:tabs>
          <w:tab w:leader="none" w:pos="1200" w:val="left"/>
        </w:tabs>
        <w:numPr>
          <w:ilvl w:val="0"/>
          <w:numId w:val="1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discussed with the independent registered public accounting firm the items that are required to be discussed by the applicable requirements of the Public Company Accounting Oversight Board and the SEC; and</w:t>
      </w:r>
    </w:p>
    <w:p>
      <w:pPr>
        <w:spacing w:after="0" w:line="33" w:lineRule="exact"/>
        <w:rPr>
          <w:rFonts w:ascii="MS PGothic" w:cs="MS PGothic" w:eastAsia="MS PGothic" w:hAnsi="MS PGothic"/>
          <w:sz w:val="17"/>
          <w:szCs w:val="17"/>
          <w:color w:val="auto"/>
        </w:rPr>
      </w:pPr>
    </w:p>
    <w:p>
      <w:pPr>
        <w:ind w:left="1200" w:right="540" w:hanging="603"/>
        <w:spacing w:after="0" w:line="256" w:lineRule="auto"/>
        <w:tabs>
          <w:tab w:leader="none" w:pos="1200" w:val="left"/>
        </w:tabs>
        <w:numPr>
          <w:ilvl w:val="0"/>
          <w:numId w:val="1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reviewed and considered the written disclosures in the letter received from Deloitte, as required by the Public Company Accounting Oversight Board, regarding the independent accountant’s communications with the Audit Committee regarding independence, including a discussion about its independence from the Company and management.</w:t>
      </w:r>
    </w:p>
    <w:p>
      <w:pPr>
        <w:spacing w:after="0" w:line="5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7"/>
          <w:szCs w:val="17"/>
          <w:color w:val="auto"/>
        </w:rPr>
        <w:t>Based on the reviews and discussions above, and subject to the limitations on the role and responsibilities of the Audit Committee, and in the Audit Committee charter in effect in 2025, we recommended to the Company’s board that the audited consolidated financial statements for 2025 be included in the Company’s Annual Report on Form 10-K for the year ended December</w:t>
      </w:r>
      <w:r>
        <w:rPr>
          <w:rFonts w:ascii="Arial" w:cs="Arial" w:eastAsia="Arial" w:hAnsi="Arial"/>
          <w:sz w:val="17"/>
          <w:szCs w:val="17"/>
          <w:color w:val="auto"/>
        </w:rPr>
        <w:t> </w:t>
      </w:r>
      <w:r>
        <w:rPr>
          <w:rFonts w:ascii="Times New Roman" w:cs="Times New Roman" w:eastAsia="Times New Roman" w:hAnsi="Times New Roman"/>
          <w:sz w:val="17"/>
          <w:szCs w:val="17"/>
          <w:color w:val="auto"/>
        </w:rPr>
        <w:t>31, 2025, for filing with the SEC. The Company’s board approved the Audit Committee’s recommendation.</w:t>
      </w:r>
    </w:p>
    <w:p>
      <w:pPr>
        <w:spacing w:after="0" w:line="7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Submitted by the Audit Committee</w:t>
      </w:r>
    </w:p>
    <w:p>
      <w:pPr>
        <w:spacing w:after="0" w:line="1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Clifford De Souza (Chair)</w:t>
      </w:r>
    </w:p>
    <w:p>
      <w:pPr>
        <w:spacing w:after="0" w:line="1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Richard Lieb</w:t>
      </w:r>
    </w:p>
    <w:p>
      <w:pPr>
        <w:spacing w:after="0" w:line="1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Nina Matis</w:t>
      </w:r>
    </w:p>
    <w:p>
      <w:pPr>
        <w:spacing w:after="0" w:line="10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i w:val="1"/>
          <w:iCs w:val="1"/>
          <w:color w:val="auto"/>
        </w:rPr>
        <w:t>The above report will not be deemed to be incorporated by reference into any filing by us under the Securities Act of 1933 or the Securities Exchange Act of 1934 except to the extent that we specifically incorporate the same by reference.</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Star Holdings 2026 Proxy Statement | </w:t>
      </w:r>
      <w:r>
        <w:rPr>
          <w:rFonts w:ascii="Times New Roman" w:cs="Times New Roman" w:eastAsia="Times New Roman" w:hAnsi="Times New Roman"/>
          <w:sz w:val="17"/>
          <w:szCs w:val="17"/>
          <w:b w:val="1"/>
          <w:bCs w:val="1"/>
          <w:color w:val="1D4E8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6306820"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607695" cy="1104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695" cy="11049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b w:val="1"/>
          <w:bCs w:val="1"/>
          <w:color w:val="1D4E8F"/>
        </w:rPr>
        <w:t>EXECUTIVE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Overview</w:t>
      </w:r>
    </w:p>
    <w:p>
      <w:pPr>
        <w:spacing w:after="0" w:line="2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The Company entered into the Management Agreement (the “Management Agreement”) with the Manager, a wholly owned subsidiary of Safehold Inc. All of our senior executives are employees of our Manager or its affiliates. We pay fees to our Manager under the Management Agreement; we do not directly compensate the employees of our Manager who provide services to us. We do not reimburse the Manager for any portion of the compensation it pays to its employees who provide services to us, except for the compensation of up to two accounting personnel whom the Manager has dedicated to provide services to us. The location of the executive offices and telephone number of our Manager 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Safehold Management Services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1114 Avenue of the Americas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(212) 930-9400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our senior executives who served during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Star Holdings</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Safehold Management Services Inc.</w:t>
            </w:r>
          </w:p>
        </w:tc>
        <w:tc>
          <w:tcPr>
            <w:tcW w:w="80" w:type="dxa"/>
            <w:vAlign w:val="bottom"/>
          </w:tcPr>
          <w:p>
            <w:pPr>
              <w:spacing w:after="0"/>
              <w:rPr>
                <w:sz w:val="17"/>
                <w:szCs w:val="17"/>
                <w:color w:val="auto"/>
              </w:rPr>
            </w:pPr>
          </w:p>
        </w:tc>
      </w:tr>
      <w:tr>
        <w:trPr>
          <w:trHeight w:val="266"/>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Jay Sugarman</w:t>
            </w:r>
          </w:p>
        </w:tc>
        <w:tc>
          <w:tcPr>
            <w:tcW w:w="31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7"/>
              </w:rPr>
              <w:t>Chief Executive Officer</w:t>
            </w:r>
          </w:p>
        </w:tc>
        <w:tc>
          <w:tcPr>
            <w:tcW w:w="3340" w:type="dxa"/>
            <w:vAlign w:val="bottom"/>
            <w:gridSpan w:val="3"/>
          </w:tcPr>
          <w:p>
            <w:pPr>
              <w:jc w:val="center"/>
              <w:ind w:left="697"/>
              <w:spacing w:after="0"/>
              <w:rPr>
                <w:sz w:val="20"/>
                <w:szCs w:val="20"/>
                <w:color w:val="auto"/>
              </w:rPr>
            </w:pPr>
            <w:r>
              <w:rPr>
                <w:rFonts w:ascii="Times New Roman" w:cs="Times New Roman" w:eastAsia="Times New Roman" w:hAnsi="Times New Roman"/>
                <w:sz w:val="17"/>
                <w:szCs w:val="17"/>
                <w:color w:val="auto"/>
                <w:w w:val="97"/>
              </w:rPr>
              <w:t>Chairman and Chief Executive Officer</w:t>
            </w:r>
          </w:p>
        </w:tc>
      </w:tr>
      <w:tr>
        <w:trPr>
          <w:trHeight w:val="249"/>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Michael Trachtenberg</w:t>
            </w:r>
          </w:p>
        </w:tc>
        <w:tc>
          <w:tcPr>
            <w:tcW w:w="1120" w:type="dxa"/>
            <w:vAlign w:val="bottom"/>
          </w:tcPr>
          <w:p>
            <w:pPr>
              <w:spacing w:after="0"/>
              <w:rPr>
                <w:sz w:val="21"/>
                <w:szCs w:val="21"/>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President</w:t>
            </w:r>
          </w:p>
        </w:tc>
        <w:tc>
          <w:tcPr>
            <w:tcW w:w="860" w:type="dxa"/>
            <w:vAlign w:val="bottom"/>
          </w:tcPr>
          <w:p>
            <w:pPr>
              <w:spacing w:after="0"/>
              <w:rPr>
                <w:sz w:val="21"/>
                <w:szCs w:val="21"/>
                <w:color w:val="auto"/>
              </w:rPr>
            </w:pPr>
          </w:p>
        </w:tc>
        <w:tc>
          <w:tcPr>
            <w:tcW w:w="24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President</w:t>
            </w:r>
          </w:p>
        </w:tc>
      </w:tr>
      <w:tr>
        <w:trPr>
          <w:trHeight w:val="249"/>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Brett Asnas</w:t>
            </w:r>
          </w:p>
        </w:tc>
        <w:tc>
          <w:tcPr>
            <w:tcW w:w="31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8"/>
              </w:rPr>
              <w:t>Chief Financial Officer</w:t>
            </w:r>
          </w:p>
        </w:tc>
        <w:tc>
          <w:tcPr>
            <w:tcW w:w="860" w:type="dxa"/>
            <w:vAlign w:val="bottom"/>
          </w:tcPr>
          <w:p>
            <w:pPr>
              <w:spacing w:after="0"/>
              <w:rPr>
                <w:sz w:val="21"/>
                <w:szCs w:val="21"/>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Chief Financial Officer</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Compensation Overview</w:t>
      </w:r>
    </w:p>
    <w:p>
      <w:pPr>
        <w:spacing w:after="0" w:line="16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7"/>
          <w:szCs w:val="17"/>
          <w:color w:val="auto"/>
        </w:rPr>
        <w:t>The Management Agreement requires the Manager to manage the Company’s assets and its subsidiaries’ day-to-day operations, subject to the supervision of the Board of the Company. Pursuant to the Management Agreement, the Manager is required to provide the Company with a management team, including a chief executive officer, a chief financial officer and a chief compliance officer, along with support personnel, to provide the management services to be provided by the Manager to the Company. We do not have any employees. Accordingly, our Chief Executive Officer and each of our other senior executives, each of whom is a senior executive of our Manager, do not receive cash compensation from us for serving as executive officers. Instead, we pay our Manager a management fee described below.</w:t>
      </w:r>
    </w:p>
    <w:p>
      <w:pPr>
        <w:spacing w:after="0" w:line="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color w:val="auto"/>
        </w:rPr>
        <w:t>The initial term of the Management Agreement expired on March 31, 2024, and automatically renewed for a one-year term and will automatically renew each anniversary date thereafter unless previously terminated pursuant to the terms thereof. The Company paid the Manager management fees of $25.0 million for the term ended March 31, 2024, $15.0 million for the annual term ended March 31, 2025, and $10.0 million for the annual term ended March 31, 2026. The annual fee declines to $7.5 million for the annual term ending March 31, 2027, and adjusts to 2.0% of the gross book value of the Company’s assets, excluding the Safe Shares, thereafter. The Company reimburse the Manager for third party expenses incurred in connection with its services and, in addition, the Manager will be solely responsible for any portion of rent, telephone, utilities, office furniture, equipment, machinery and other office, internal and overhead expenses attributable to the personnel of the Manager and its affiliates required for our operations. As noted above, we will not reimburse our Manager or its affiliates for the compensation paid to its personnel except for the compensation costs paid to up to two accounting personnel (neither of whom is an executive officer of the Company) who will be dedicated to performing services for us, whose compensation is subject to the reasonable approval of our independent trustees.</w:t>
      </w:r>
    </w:p>
    <w:p>
      <w:pPr>
        <w:spacing w:after="0" w:line="7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The Management Agreement may be terminated by the Company without cause by not less than one hundred eighty days’ written notice to the Manager upon the affirmative vote of at least two-thirds of the Company’s independent trustees, provided, however, that if the date of termination occurs prior to March 31, 2027, the termination will be subject to payment of the applicable termination fee to the Manager. The Company may also terminate the Management Agreement at any time with 30 days’ prior written notice from the Company’s board of trustees for “cause,” as defined in the Management Agreement.</w:t>
      </w:r>
    </w:p>
    <w:p>
      <w:pPr>
        <w:spacing w:after="0" w:line="10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In the event of a termination without cause by the Company prior to March 31, 2027, the Company will pay the Manager a termination fee of $55.0 million minus the aggregate amount of management fees actually paid to the Manager prior to the termination date. However, if the Company has completed the liquidation of its assets on or before the termination date, the termination fee will consist of any portion of the annual management fee that remained unpaid for the remainder of the then current annual term.</w:t>
      </w:r>
    </w:p>
    <w:p>
      <w:pPr>
        <w:spacing w:after="0" w:line="8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We do not currently have any operative equity incentive plans or programs. We have not granted any stock options or other equity-based incentive awards to anyone.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18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104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695" cy="11049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8AAA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Compensation Paid by Our Manager and Its Affiliates</w:t>
      </w:r>
    </w:p>
    <w:p>
      <w:pPr>
        <w:spacing w:after="0" w:line="20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7"/>
          <w:szCs w:val="17"/>
          <w:color w:val="auto"/>
        </w:rPr>
        <w:t>Our Chief Executive Officer and other named executive officers are employees of our Manager’s parent company, and are compensated under compensation arrangements made with Safehold. Except for two accounting personnel who are dedicated to performing services for us (neither of whom is an executive officer), Safehold does not compensate its employees specifically for services rendered in performing obligations to us under the Management Agreement as these individuals also provide services relating to Safehold’s other business activities.</w:t>
      </w:r>
    </w:p>
    <w:p>
      <w:pPr>
        <w:spacing w:after="0" w:line="111" w:lineRule="exact"/>
        <w:rPr>
          <w:sz w:val="20"/>
          <w:szCs w:val="20"/>
          <w:color w:val="auto"/>
        </w:rPr>
      </w:pPr>
    </w:p>
    <w:p>
      <w:pPr>
        <w:jc w:val="both"/>
        <w:ind w:right="420"/>
        <w:spacing w:after="0" w:line="256" w:lineRule="auto"/>
        <w:rPr>
          <w:sz w:val="20"/>
          <w:szCs w:val="20"/>
          <w:color w:val="auto"/>
        </w:rPr>
      </w:pPr>
      <w:r>
        <w:rPr>
          <w:rFonts w:ascii="Times New Roman" w:cs="Times New Roman" w:eastAsia="Times New Roman" w:hAnsi="Times New Roman"/>
          <w:sz w:val="17"/>
          <w:szCs w:val="17"/>
          <w:color w:val="auto"/>
        </w:rPr>
        <w:t>Safehold has informed us that it does not segregate or identify the portion of the compensation awarded to our named executive officers that is attributable to their services to us. The total compensation of our named executive officers reflects the performance of services relating to all of Safehold’s activities in addition to services provided by these individuals to us.</w:t>
      </w:r>
    </w:p>
    <w:p>
      <w:pPr>
        <w:spacing w:after="0" w:line="10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Safehold has informed us that no portion of the management fee paid by us to our Manager is specifically allocated to aggregate compensation paid by Safehold to our named executive officers.</w:t>
      </w:r>
    </w:p>
    <w:p>
      <w:pPr>
        <w:spacing w:after="0" w:line="8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7"/>
          <w:szCs w:val="17"/>
          <w:color w:val="auto"/>
        </w:rPr>
        <w:t>For context with respect to our named executive officers’ compensation, Safehold reports that it paid our named executive officers aggregate base salary, annual incentive bonus and long-term incentive compensation in the aggregate amount of $15.4 million during 2025, which amount represented 137% of the management fee we paid to our Manager in 2025.</w:t>
      </w:r>
    </w:p>
    <w:p>
      <w:pPr>
        <w:spacing w:after="0" w:line="108"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7"/>
          <w:szCs w:val="17"/>
          <w:color w:val="auto"/>
        </w:rPr>
        <w:t>Safehold reports that its compensation program is designed to foster a strong pay-for-performance culture. In setting compensation for its professionals, including our Chief Executive Officer and our other named executive officers, according to Safehold, it allocates pay among base salary, short-term incentives and long-term incentives to emphasize variable, performance-based compensation. This mix is designed to ensure the appropriate alignment of executive compensation with financial performance and shareholder value creation.</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Safehold has informed us that it takes into consideration many factors in determining its performance-based pay for its executives, including our named executive officers. In determining its performance-based compensation, Safehold has established performance metrics that relate to Safehold’s activities that are unrelated to our business.</w:t>
      </w:r>
    </w:p>
    <w:p>
      <w:pPr>
        <w:spacing w:after="0" w:line="10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The performance metrics utilized by Safehold in its executive compensation program are described in detail in its</w:t>
      </w:r>
      <w:r>
        <w:rPr>
          <w:rFonts w:ascii="Arial" w:cs="Arial" w:eastAsia="Arial" w:hAnsi="Arial"/>
          <w:sz w:val="17"/>
          <w:szCs w:val="17"/>
          <w:color w:val="auto"/>
        </w:rPr>
        <w:t> </w:t>
      </w:r>
      <w:r>
        <w:rPr>
          <w:rFonts w:ascii="Times New Roman" w:cs="Times New Roman" w:eastAsia="Times New Roman" w:hAnsi="Times New Roman"/>
          <w:sz w:val="17"/>
          <w:szCs w:val="17"/>
          <w:color w:val="auto"/>
        </w:rPr>
        <w:t>2026 proxy statement dated March 31, 2026, filed with the SEC and available at www.envisionreports.com/Safe.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0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In accordance with the requirements of the Nasdaq rules, we maintain the Star Holdings Policy for Recovery of Erroneously Awarded Compensation (the “Clawback Policy”), an executive officer clawback policy that empowers the Company to recover certain incentive compensation erroneously awarded to a current or former “Section 16 officer” of the Company, as defined in Rule 16a-1(f) under the Exchange Act (a “Covered Officer”), in the event of an accounting restatement. Unless an exception applies, the Company will recover reasonably promptly from each Covered Officer the applicable incentive compensation received by such Covered Officer in the event that the Company is required to prepare an accounting restatement due to the material noncompliance of the Company with any financial reporting requirement under the securities laws as provided in the Clawback Policy.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Policies and Procedures</w:t>
      </w:r>
    </w:p>
    <w:p>
      <w:pPr>
        <w:spacing w:after="0" w:line="20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The federal securities laws prohibit a company’s trustees, officers, employees and other “insiders” from engaging in securities trading on the basis of material, non-public information. It is our policy, without exception, to comply with all applicable laws and regulations in conducting our business including in respect of any purchases or sales of securities by us. The Company has adopted an insider trading policy governing the purchase, sale, and/or other dispositions of our securities by trustees, officers and employees that is reasonably designed to promote compliance with insider trading laws, rules and regulations, and any listing standards applicable to us. We impose “blackout periods” on a quarterly basis, and otherwise as appropriate, that prohibit insiders from trading in our securities, and require that any trading by an insider must be approved in advance by our compliance officer. A copy of our Insider Trading Policy is attached as Exhibit 19.1 to our Annual Report on Form 10-K for the year ended December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Hedging/Pledging Policies</w:t>
      </w:r>
    </w:p>
    <w:p>
      <w:pPr>
        <w:spacing w:after="0" w:line="2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Our executives and trustees are prohibited from engaging in transactions that hedge the risk of owning the Company common stock. In addition, trustees and officers may not pledge our securities as collateral for a loan or hold Company securities in a margin account except with prior approval in accordance with guidelines approved by our Board from time to time.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 xml:space="preserve">Star Holdings 2026 Proxy Statement | </w:t>
      </w:r>
      <w:r>
        <w:rPr>
          <w:rFonts w:ascii="Times New Roman" w:cs="Times New Roman" w:eastAsia="Times New Roman" w:hAnsi="Times New Roman"/>
          <w:sz w:val="16"/>
          <w:szCs w:val="16"/>
          <w:b w:val="1"/>
          <w:bCs w:val="1"/>
          <w:color w:val="1D4E8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346075</wp:posOffset>
            </wp:positionV>
            <wp:extent cx="6306820"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-103505</wp:posOffset>
            </wp:positionV>
            <wp:extent cx="607695"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Executive Compensation Tables and Other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Summary Compensation Table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2025, we did not provide any of our named executive officers with any cash or other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Grants of Plan-Based Awards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2025, we did not grant any equity based awards to our named executive officers.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Outstanding Equity Awards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none of our named executive officers held any outstanding stock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Stock Vested in Fiscal 2025</w:t>
      </w:r>
    </w:p>
    <w:p>
      <w:pPr>
        <w:spacing w:after="0" w:line="2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During the year ended December 31, 2025, none of our named executive officers exercised stock options, SARs or similar instruments, and no vesting of shares of the Company, including restricted shares, restricted stock units or similar instruments occurred.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No Pension or Deferred Compensation</w:t>
      </w: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We do not maintain any tax-qualified defined benefit plans, supplemental executive retirement plans, or similar plans for which information is required to be reported in a pension benefits table. Similarly, we do not maintain any non-qualified deferred compensation plans for which information is required to be reported.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No Employment Agreements with Executive Officers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have employment agreements with any of our named 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Change-in-Control or Similar Arrangements</w:t>
      </w:r>
    </w:p>
    <w:p>
      <w:pPr>
        <w:spacing w:after="0" w:line="2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None of our named executive officers are party to any automatic “single trigger” change-in-control arrangements that provide for compensation (including accelerated vesting of stock awards) in the event of a change in control.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20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104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695" cy="110490"/>
                    </a:xfrm>
                    <a:prstGeom prst="rect">
                      <a:avLst/>
                    </a:prstGeom>
                    <a:noFill/>
                  </pic:spPr>
                </pic:pic>
              </a:graphicData>
            </a:graphic>
          </wp:anchor>
        </w:drawing>
      </w:r>
    </w:p>
    <w:p>
      <w:pPr>
        <w:sectPr>
          <w:pgSz w:w="11900" w:h="16838" w:orient="portrait"/>
          <w:cols w:equalWidth="0" w:num="1">
            <w:col w:w="9520"/>
          </w:cols>
          <w:pgMar w:left="980" w:top="359" w:right="1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306820"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Security Ownership of Certain Beneficial Owners and Management</w:t>
      </w:r>
    </w:p>
    <w:p>
      <w:pPr>
        <w:spacing w:after="0" w:line="2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The following table sets forth information available to us with respect to any common stock owned by our trustees, nominees for trustee, executive officers, and any individual or group of shareholders known to be the beneficial owner of more than 5% of our issued and outstanding common as of March 27,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60" w:type="dxa"/>
            <w:vAlign w:val="bottom"/>
            <w:tcBorders>
              <w:bottom w:val="single" w:sz="8" w:color="1D4E8F"/>
            </w:tcBorders>
            <w:gridSpan w:val="2"/>
          </w:tcPr>
          <w:p>
            <w:pPr>
              <w:spacing w:after="0"/>
              <w:rPr>
                <w:sz w:val="20"/>
                <w:szCs w:val="20"/>
                <w:color w:val="auto"/>
              </w:rPr>
            </w:pPr>
            <w:r>
              <w:rPr>
                <w:rFonts w:ascii="Times New Roman" w:cs="Times New Roman" w:eastAsia="Times New Roman" w:hAnsi="Times New Roman"/>
                <w:sz w:val="13"/>
                <w:szCs w:val="13"/>
                <w:color w:val="auto"/>
              </w:rPr>
              <w:t>Name and Address of Beneficial Owners</w:t>
            </w:r>
            <w:r>
              <w:rPr>
                <w:rFonts w:ascii="Times New Roman" w:cs="Times New Roman" w:eastAsia="Times New Roman" w:hAnsi="Times New Roman"/>
                <w:sz w:val="19"/>
                <w:szCs w:val="19"/>
                <w:color w:val="auto"/>
                <w:vertAlign w:val="superscript"/>
              </w:rPr>
              <w:t>(1)</w:t>
            </w:r>
          </w:p>
        </w:tc>
        <w:tc>
          <w:tcPr>
            <w:tcW w:w="2180" w:type="dxa"/>
            <w:vAlign w:val="bottom"/>
            <w:tcBorders>
              <w:bottom w:val="single" w:sz="8" w:color="1D4E8F"/>
            </w:tcBorders>
          </w:tcPr>
          <w:p>
            <w:pPr>
              <w:jc w:val="right"/>
              <w:ind w:right="858"/>
              <w:spacing w:after="0"/>
              <w:rPr>
                <w:sz w:val="20"/>
                <w:szCs w:val="20"/>
                <w:color w:val="auto"/>
              </w:rPr>
            </w:pPr>
            <w:r>
              <w:rPr>
                <w:rFonts w:ascii="Times New Roman" w:cs="Times New Roman" w:eastAsia="Times New Roman" w:hAnsi="Times New Roman"/>
                <w:sz w:val="13"/>
                <w:szCs w:val="13"/>
                <w:color w:val="auto"/>
              </w:rPr>
              <w:t>Owned</w:t>
            </w:r>
            <w:r>
              <w:rPr>
                <w:rFonts w:ascii="Times New Roman" w:cs="Times New Roman" w:eastAsia="Times New Roman" w:hAnsi="Times New Roman"/>
                <w:sz w:val="19"/>
                <w:szCs w:val="19"/>
                <w:color w:val="auto"/>
                <w:vertAlign w:val="superscript"/>
              </w:rPr>
              <w:t>(1)</w:t>
            </w:r>
          </w:p>
        </w:tc>
        <w:tc>
          <w:tcPr>
            <w:tcW w:w="1780" w:type="dxa"/>
            <w:vAlign w:val="bottom"/>
            <w:tcBorders>
              <w:bottom w:val="single" w:sz="8" w:color="1D4E8F"/>
            </w:tcBorders>
            <w:gridSpan w:val="2"/>
          </w:tcPr>
          <w:p>
            <w:pPr>
              <w:jc w:val="right"/>
              <w:ind w:right="577"/>
              <w:spacing w:after="0"/>
              <w:rPr>
                <w:sz w:val="20"/>
                <w:szCs w:val="20"/>
                <w:color w:val="auto"/>
              </w:rPr>
            </w:pPr>
            <w:r>
              <w:rPr>
                <w:rFonts w:ascii="Times New Roman" w:cs="Times New Roman" w:eastAsia="Times New Roman" w:hAnsi="Times New Roman"/>
                <w:sz w:val="13"/>
                <w:szCs w:val="13"/>
                <w:color w:val="auto"/>
              </w:rPr>
              <w:t>Outstanding</w:t>
            </w:r>
            <w:r>
              <w:rPr>
                <w:rFonts w:ascii="Times New Roman" w:cs="Times New Roman" w:eastAsia="Times New Roman" w:hAnsi="Times New Roman"/>
                <w:sz w:val="19"/>
                <w:szCs w:val="19"/>
                <w:color w:val="auto"/>
                <w:vertAlign w:val="superscript"/>
              </w:rPr>
              <w:t>(2)</w:t>
            </w:r>
          </w:p>
        </w:tc>
      </w:tr>
      <w:tr>
        <w:trPr>
          <w:trHeight w:val="191"/>
        </w:trPr>
        <w:tc>
          <w:tcPr>
            <w:tcW w:w="5960" w:type="dxa"/>
            <w:vAlign w:val="bottom"/>
            <w:tcBorders>
              <w:bottom w:val="single" w:sz="8" w:color="999999"/>
            </w:tcBorders>
            <w:gridSpan w:val="2"/>
          </w:tcPr>
          <w:p>
            <w:pPr>
              <w:spacing w:after="0" w:line="191" w:lineRule="exact"/>
              <w:rPr>
                <w:sz w:val="20"/>
                <w:szCs w:val="20"/>
                <w:color w:val="auto"/>
              </w:rPr>
            </w:pPr>
            <w:r>
              <w:rPr>
                <w:rFonts w:ascii="Times New Roman" w:cs="Times New Roman" w:eastAsia="Times New Roman" w:hAnsi="Times New Roman"/>
                <w:sz w:val="15"/>
                <w:szCs w:val="15"/>
                <w:color w:val="auto"/>
              </w:rPr>
              <w:t>Brett Asnas</w:t>
            </w:r>
            <w:r>
              <w:rPr>
                <w:rFonts w:ascii="Times New Roman" w:cs="Times New Roman" w:eastAsia="Times New Roman" w:hAnsi="Times New Roman"/>
                <w:sz w:val="22"/>
                <w:szCs w:val="22"/>
                <w:color w:val="auto"/>
                <w:vertAlign w:val="superscript"/>
              </w:rPr>
              <w:t>(3)</w:t>
            </w:r>
          </w:p>
        </w:tc>
        <w:tc>
          <w:tcPr>
            <w:tcW w:w="2180" w:type="dxa"/>
            <w:vAlign w:val="bottom"/>
            <w:tcBorders>
              <w:bottom w:val="single" w:sz="8" w:color="999999"/>
            </w:tcBorders>
          </w:tcPr>
          <w:p>
            <w:pPr>
              <w:jc w:val="right"/>
              <w:ind w:right="278"/>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999999"/>
            </w:tcBorders>
          </w:tcPr>
          <w:p>
            <w:pPr>
              <w:spacing w:after="0"/>
              <w:rPr>
                <w:sz w:val="16"/>
                <w:szCs w:val="16"/>
                <w:color w:val="auto"/>
              </w:rPr>
            </w:pPr>
          </w:p>
        </w:tc>
      </w:tr>
      <w:tr>
        <w:trPr>
          <w:trHeight w:val="191"/>
        </w:trPr>
        <w:tc>
          <w:tcPr>
            <w:tcW w:w="5960" w:type="dxa"/>
            <w:vAlign w:val="bottom"/>
            <w:tcBorders>
              <w:bottom w:val="single" w:sz="8" w:color="999999"/>
            </w:tcBorders>
            <w:gridSpan w:val="2"/>
          </w:tcPr>
          <w:p>
            <w:pPr>
              <w:spacing w:after="0" w:line="191" w:lineRule="exact"/>
              <w:rPr>
                <w:sz w:val="20"/>
                <w:szCs w:val="20"/>
                <w:color w:val="auto"/>
              </w:rPr>
            </w:pPr>
            <w:r>
              <w:rPr>
                <w:rFonts w:ascii="Times New Roman" w:cs="Times New Roman" w:eastAsia="Times New Roman" w:hAnsi="Times New Roman"/>
                <w:sz w:val="15"/>
                <w:szCs w:val="15"/>
                <w:color w:val="auto"/>
              </w:rPr>
              <w:t>Nina Matis</w:t>
            </w:r>
            <w:r>
              <w:rPr>
                <w:rFonts w:ascii="Times New Roman" w:cs="Times New Roman" w:eastAsia="Times New Roman" w:hAnsi="Times New Roman"/>
                <w:sz w:val="22"/>
                <w:szCs w:val="22"/>
                <w:color w:val="auto"/>
                <w:vertAlign w:val="superscript"/>
              </w:rPr>
              <w:t>(3)(4)</w:t>
            </w:r>
          </w:p>
        </w:tc>
        <w:tc>
          <w:tcPr>
            <w:tcW w:w="2180" w:type="dxa"/>
            <w:vAlign w:val="bottom"/>
            <w:tcBorders>
              <w:bottom w:val="single" w:sz="8" w:color="999999"/>
            </w:tcBorders>
          </w:tcPr>
          <w:p>
            <w:pPr>
              <w:jc w:val="right"/>
              <w:ind w:right="278"/>
              <w:spacing w:after="0" w:line="191" w:lineRule="exact"/>
              <w:rPr>
                <w:sz w:val="20"/>
                <w:szCs w:val="20"/>
                <w:color w:val="auto"/>
              </w:rPr>
            </w:pPr>
            <w:r>
              <w:rPr>
                <w:rFonts w:ascii="Times New Roman" w:cs="Times New Roman" w:eastAsia="Times New Roman" w:hAnsi="Times New Roman"/>
                <w:sz w:val="17"/>
                <w:szCs w:val="17"/>
                <w:color w:val="auto"/>
              </w:rPr>
              <w:t>17,499</w:t>
            </w:r>
          </w:p>
        </w:tc>
        <w:tc>
          <w:tcPr>
            <w:tcW w:w="16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999999"/>
            </w:tcBorders>
          </w:tcPr>
          <w:p>
            <w:pPr>
              <w:spacing w:after="0"/>
              <w:rPr>
                <w:sz w:val="16"/>
                <w:szCs w:val="16"/>
                <w:color w:val="auto"/>
              </w:rPr>
            </w:pPr>
          </w:p>
        </w:tc>
      </w:tr>
      <w:tr>
        <w:trPr>
          <w:trHeight w:val="191"/>
        </w:trPr>
        <w:tc>
          <w:tcPr>
            <w:tcW w:w="5960" w:type="dxa"/>
            <w:vAlign w:val="bottom"/>
            <w:tcBorders>
              <w:bottom w:val="single" w:sz="8" w:color="999999"/>
            </w:tcBorders>
            <w:gridSpan w:val="2"/>
          </w:tcPr>
          <w:p>
            <w:pPr>
              <w:spacing w:after="0" w:line="191" w:lineRule="exact"/>
              <w:rPr>
                <w:sz w:val="20"/>
                <w:szCs w:val="20"/>
                <w:color w:val="auto"/>
              </w:rPr>
            </w:pPr>
            <w:r>
              <w:rPr>
                <w:rFonts w:ascii="Times New Roman" w:cs="Times New Roman" w:eastAsia="Times New Roman" w:hAnsi="Times New Roman"/>
                <w:sz w:val="15"/>
                <w:szCs w:val="15"/>
                <w:color w:val="auto"/>
              </w:rPr>
              <w:t>Clifford De Souza</w:t>
            </w:r>
            <w:r>
              <w:rPr>
                <w:rFonts w:ascii="Times New Roman" w:cs="Times New Roman" w:eastAsia="Times New Roman" w:hAnsi="Times New Roman"/>
                <w:sz w:val="22"/>
                <w:szCs w:val="22"/>
                <w:color w:val="auto"/>
                <w:vertAlign w:val="superscript"/>
              </w:rPr>
              <w:t>(3)(5)</w:t>
            </w:r>
          </w:p>
        </w:tc>
        <w:tc>
          <w:tcPr>
            <w:tcW w:w="2180" w:type="dxa"/>
            <w:vAlign w:val="bottom"/>
            <w:tcBorders>
              <w:bottom w:val="single" w:sz="8" w:color="999999"/>
            </w:tcBorders>
          </w:tcPr>
          <w:p>
            <w:pPr>
              <w:jc w:val="right"/>
              <w:ind w:right="278"/>
              <w:spacing w:after="0" w:line="191" w:lineRule="exact"/>
              <w:rPr>
                <w:sz w:val="20"/>
                <w:szCs w:val="20"/>
                <w:color w:val="auto"/>
              </w:rPr>
            </w:pPr>
            <w:r>
              <w:rPr>
                <w:rFonts w:ascii="Times New Roman" w:cs="Times New Roman" w:eastAsia="Times New Roman" w:hAnsi="Times New Roman"/>
                <w:sz w:val="17"/>
                <w:szCs w:val="17"/>
                <w:color w:val="auto"/>
              </w:rPr>
              <w:t>12,898</w:t>
            </w:r>
          </w:p>
        </w:tc>
        <w:tc>
          <w:tcPr>
            <w:tcW w:w="16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999999"/>
            </w:tcBorders>
          </w:tcPr>
          <w:p>
            <w:pPr>
              <w:spacing w:after="0"/>
              <w:rPr>
                <w:sz w:val="16"/>
                <w:szCs w:val="16"/>
                <w:color w:val="auto"/>
              </w:rPr>
            </w:pPr>
          </w:p>
        </w:tc>
      </w:tr>
      <w:tr>
        <w:trPr>
          <w:trHeight w:val="191"/>
        </w:trPr>
        <w:tc>
          <w:tcPr>
            <w:tcW w:w="5960" w:type="dxa"/>
            <w:vAlign w:val="bottom"/>
            <w:tcBorders>
              <w:bottom w:val="single" w:sz="8" w:color="999999"/>
            </w:tcBorders>
            <w:gridSpan w:val="2"/>
          </w:tcPr>
          <w:p>
            <w:pPr>
              <w:spacing w:after="0" w:line="191" w:lineRule="exact"/>
              <w:rPr>
                <w:sz w:val="20"/>
                <w:szCs w:val="20"/>
                <w:color w:val="auto"/>
              </w:rPr>
            </w:pPr>
            <w:r>
              <w:rPr>
                <w:rFonts w:ascii="Times New Roman" w:cs="Times New Roman" w:eastAsia="Times New Roman" w:hAnsi="Times New Roman"/>
                <w:sz w:val="15"/>
                <w:szCs w:val="15"/>
                <w:color w:val="auto"/>
              </w:rPr>
              <w:t>Richard Lieb</w:t>
            </w:r>
            <w:r>
              <w:rPr>
                <w:rFonts w:ascii="Times New Roman" w:cs="Times New Roman" w:eastAsia="Times New Roman" w:hAnsi="Times New Roman"/>
                <w:sz w:val="22"/>
                <w:szCs w:val="22"/>
                <w:color w:val="auto"/>
                <w:vertAlign w:val="superscript"/>
              </w:rPr>
              <w:t>(3)(6)</w:t>
            </w:r>
          </w:p>
        </w:tc>
        <w:tc>
          <w:tcPr>
            <w:tcW w:w="2180" w:type="dxa"/>
            <w:vAlign w:val="bottom"/>
            <w:tcBorders>
              <w:bottom w:val="single" w:sz="8" w:color="999999"/>
            </w:tcBorders>
          </w:tcPr>
          <w:p>
            <w:pPr>
              <w:jc w:val="right"/>
              <w:ind w:right="278"/>
              <w:spacing w:after="0" w:line="191" w:lineRule="exact"/>
              <w:rPr>
                <w:sz w:val="20"/>
                <w:szCs w:val="20"/>
                <w:color w:val="auto"/>
              </w:rPr>
            </w:pPr>
            <w:r>
              <w:rPr>
                <w:rFonts w:ascii="Times New Roman" w:cs="Times New Roman" w:eastAsia="Times New Roman" w:hAnsi="Times New Roman"/>
                <w:sz w:val="17"/>
                <w:szCs w:val="17"/>
                <w:color w:val="auto"/>
              </w:rPr>
              <w:t>6,370</w:t>
            </w:r>
          </w:p>
        </w:tc>
        <w:tc>
          <w:tcPr>
            <w:tcW w:w="16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999999"/>
            </w:tcBorders>
          </w:tcPr>
          <w:p>
            <w:pPr>
              <w:spacing w:after="0"/>
              <w:rPr>
                <w:sz w:val="16"/>
                <w:szCs w:val="16"/>
                <w:color w:val="auto"/>
              </w:rPr>
            </w:pPr>
          </w:p>
        </w:tc>
      </w:tr>
      <w:tr>
        <w:trPr>
          <w:trHeight w:val="191"/>
        </w:trPr>
        <w:tc>
          <w:tcPr>
            <w:tcW w:w="5960" w:type="dxa"/>
            <w:vAlign w:val="bottom"/>
            <w:tcBorders>
              <w:bottom w:val="single" w:sz="8" w:color="999999"/>
            </w:tcBorders>
            <w:gridSpan w:val="2"/>
          </w:tcPr>
          <w:p>
            <w:pPr>
              <w:spacing w:after="0" w:line="191" w:lineRule="exact"/>
              <w:rPr>
                <w:sz w:val="20"/>
                <w:szCs w:val="20"/>
                <w:color w:val="auto"/>
              </w:rPr>
            </w:pPr>
            <w:r>
              <w:rPr>
                <w:rFonts w:ascii="Times New Roman" w:cs="Times New Roman" w:eastAsia="Times New Roman" w:hAnsi="Times New Roman"/>
                <w:sz w:val="15"/>
                <w:szCs w:val="15"/>
                <w:color w:val="auto"/>
              </w:rPr>
              <w:t>Jay Sugarman</w:t>
            </w:r>
            <w:r>
              <w:rPr>
                <w:rFonts w:ascii="Times New Roman" w:cs="Times New Roman" w:eastAsia="Times New Roman" w:hAnsi="Times New Roman"/>
                <w:sz w:val="22"/>
                <w:szCs w:val="22"/>
                <w:color w:val="auto"/>
                <w:vertAlign w:val="superscript"/>
              </w:rPr>
              <w:t>(3)(7)</w:t>
            </w:r>
          </w:p>
        </w:tc>
        <w:tc>
          <w:tcPr>
            <w:tcW w:w="2180" w:type="dxa"/>
            <w:vAlign w:val="bottom"/>
            <w:tcBorders>
              <w:bottom w:val="single" w:sz="8" w:color="999999"/>
            </w:tcBorders>
          </w:tcPr>
          <w:p>
            <w:pPr>
              <w:jc w:val="right"/>
              <w:ind w:right="278"/>
              <w:spacing w:after="0" w:line="191" w:lineRule="exact"/>
              <w:rPr>
                <w:sz w:val="20"/>
                <w:szCs w:val="20"/>
                <w:color w:val="auto"/>
              </w:rPr>
            </w:pPr>
            <w:r>
              <w:rPr>
                <w:rFonts w:ascii="Times New Roman" w:cs="Times New Roman" w:eastAsia="Times New Roman" w:hAnsi="Times New Roman"/>
                <w:sz w:val="17"/>
                <w:szCs w:val="17"/>
                <w:color w:val="auto"/>
              </w:rPr>
              <w:t>457,746</w:t>
            </w:r>
          </w:p>
        </w:tc>
        <w:tc>
          <w:tcPr>
            <w:tcW w:w="1780" w:type="dxa"/>
            <w:vAlign w:val="bottom"/>
            <w:tcBorders>
              <w:bottom w:val="single" w:sz="8" w:color="999999"/>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3.8 %</w:t>
            </w:r>
          </w:p>
        </w:tc>
      </w:tr>
      <w:tr>
        <w:trPr>
          <w:trHeight w:val="191"/>
        </w:trPr>
        <w:tc>
          <w:tcPr>
            <w:tcW w:w="5960" w:type="dxa"/>
            <w:vAlign w:val="bottom"/>
            <w:tcBorders>
              <w:bottom w:val="single" w:sz="8" w:color="999999"/>
            </w:tcBorders>
            <w:gridSpan w:val="2"/>
          </w:tcPr>
          <w:p>
            <w:pPr>
              <w:spacing w:after="0" w:line="191" w:lineRule="exact"/>
              <w:rPr>
                <w:sz w:val="20"/>
                <w:szCs w:val="20"/>
                <w:color w:val="auto"/>
              </w:rPr>
            </w:pPr>
            <w:r>
              <w:rPr>
                <w:rFonts w:ascii="Times New Roman" w:cs="Times New Roman" w:eastAsia="Times New Roman" w:hAnsi="Times New Roman"/>
                <w:sz w:val="15"/>
                <w:szCs w:val="15"/>
                <w:color w:val="auto"/>
              </w:rPr>
              <w:t>Michael Trachtenberg</w:t>
            </w:r>
            <w:r>
              <w:rPr>
                <w:rFonts w:ascii="Times New Roman" w:cs="Times New Roman" w:eastAsia="Times New Roman" w:hAnsi="Times New Roman"/>
                <w:sz w:val="22"/>
                <w:szCs w:val="22"/>
                <w:color w:val="auto"/>
                <w:vertAlign w:val="superscript"/>
              </w:rPr>
              <w:t>(3)</w:t>
            </w:r>
          </w:p>
        </w:tc>
        <w:tc>
          <w:tcPr>
            <w:tcW w:w="2180" w:type="dxa"/>
            <w:vAlign w:val="bottom"/>
            <w:tcBorders>
              <w:bottom w:val="single" w:sz="8" w:color="999999"/>
            </w:tcBorders>
          </w:tcPr>
          <w:p>
            <w:pPr>
              <w:jc w:val="right"/>
              <w:ind w:right="278"/>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999999"/>
            </w:tcBorders>
          </w:tcPr>
          <w:p>
            <w:pPr>
              <w:spacing w:after="0"/>
              <w:rPr>
                <w:sz w:val="16"/>
                <w:szCs w:val="16"/>
                <w:color w:val="auto"/>
              </w:rPr>
            </w:pPr>
          </w:p>
        </w:tc>
      </w:tr>
      <w:tr>
        <w:trPr>
          <w:trHeight w:val="175"/>
        </w:trPr>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4"/>
                <w:szCs w:val="14"/>
                <w:color w:val="auto"/>
              </w:rPr>
              <w:t>TD Securities (USA) LLC</w:t>
            </w:r>
            <w:r>
              <w:rPr>
                <w:rFonts w:ascii="Times New Roman" w:cs="Times New Roman" w:eastAsia="Times New Roman" w:hAnsi="Times New Roman"/>
                <w:sz w:val="20"/>
                <w:szCs w:val="20"/>
                <w:color w:val="auto"/>
                <w:vertAlign w:val="superscript"/>
              </w:rPr>
              <w:t>(8)</w:t>
            </w:r>
          </w:p>
        </w:tc>
        <w:tc>
          <w:tcPr>
            <w:tcW w:w="2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One Vanderbilt Avenue</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5960" w:type="dxa"/>
            <w:vAlign w:val="bottom"/>
            <w:tcBorders>
              <w:bottom w:val="single" w:sz="8" w:color="999999"/>
            </w:tcBorders>
            <w:gridSpan w:val="2"/>
          </w:tcPr>
          <w:p>
            <w:pPr>
              <w:spacing w:after="0"/>
              <w:rPr>
                <w:sz w:val="20"/>
                <w:szCs w:val="20"/>
                <w:color w:val="auto"/>
              </w:rPr>
            </w:pPr>
            <w:r>
              <w:rPr>
                <w:rFonts w:ascii="Times New Roman" w:cs="Times New Roman" w:eastAsia="Times New Roman" w:hAnsi="Times New Roman"/>
                <w:sz w:val="17"/>
                <w:szCs w:val="17"/>
                <w:color w:val="auto"/>
              </w:rPr>
              <w:t>New York, NY 10017</w:t>
            </w:r>
          </w:p>
        </w:tc>
        <w:tc>
          <w:tcPr>
            <w:tcW w:w="2180" w:type="dxa"/>
            <w:vAlign w:val="bottom"/>
            <w:tcBorders>
              <w:bottom w:val="single" w:sz="8" w:color="999999"/>
            </w:tcBorders>
          </w:tcPr>
          <w:p>
            <w:pPr>
              <w:jc w:val="right"/>
              <w:ind w:right="278"/>
              <w:spacing w:after="0"/>
              <w:rPr>
                <w:sz w:val="20"/>
                <w:szCs w:val="20"/>
                <w:color w:val="auto"/>
              </w:rPr>
            </w:pPr>
            <w:r>
              <w:rPr>
                <w:rFonts w:ascii="Times New Roman" w:cs="Times New Roman" w:eastAsia="Times New Roman" w:hAnsi="Times New Roman"/>
                <w:sz w:val="17"/>
                <w:szCs w:val="17"/>
                <w:color w:val="auto"/>
              </w:rPr>
              <w:t>1,299,902</w:t>
            </w:r>
          </w:p>
        </w:tc>
        <w:tc>
          <w:tcPr>
            <w:tcW w:w="1780" w:type="dxa"/>
            <w:vAlign w:val="bottom"/>
            <w:tcBorders>
              <w:bottom w:val="single" w:sz="8" w:color="999999"/>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10.8 %</w:t>
            </w:r>
          </w:p>
        </w:tc>
      </w:tr>
      <w:tr>
        <w:trPr>
          <w:trHeight w:val="175"/>
        </w:trPr>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4"/>
                <w:szCs w:val="14"/>
                <w:color w:val="auto"/>
              </w:rPr>
              <w:t xml:space="preserve">Highbridge Capital Management, LLC </w:t>
            </w:r>
            <w:r>
              <w:rPr>
                <w:rFonts w:ascii="Times New Roman" w:cs="Times New Roman" w:eastAsia="Times New Roman" w:hAnsi="Times New Roman"/>
                <w:sz w:val="20"/>
                <w:szCs w:val="20"/>
                <w:color w:val="auto"/>
                <w:vertAlign w:val="superscript"/>
              </w:rPr>
              <w:t>(9)</w:t>
            </w:r>
          </w:p>
        </w:tc>
        <w:tc>
          <w:tcPr>
            <w:tcW w:w="2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77 Park Avenue</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23rd Floor</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5960" w:type="dxa"/>
            <w:vAlign w:val="bottom"/>
            <w:tcBorders>
              <w:bottom w:val="single" w:sz="8" w:color="999999"/>
            </w:tcBorders>
            <w:gridSpan w:val="2"/>
          </w:tcPr>
          <w:p>
            <w:pPr>
              <w:spacing w:after="0"/>
              <w:rPr>
                <w:sz w:val="20"/>
                <w:szCs w:val="20"/>
                <w:color w:val="auto"/>
              </w:rPr>
            </w:pPr>
            <w:r>
              <w:rPr>
                <w:rFonts w:ascii="Times New Roman" w:cs="Times New Roman" w:eastAsia="Times New Roman" w:hAnsi="Times New Roman"/>
                <w:sz w:val="17"/>
                <w:szCs w:val="17"/>
                <w:color w:val="auto"/>
              </w:rPr>
              <w:t>New York, New York 10172</w:t>
            </w:r>
          </w:p>
        </w:tc>
        <w:tc>
          <w:tcPr>
            <w:tcW w:w="2180" w:type="dxa"/>
            <w:vAlign w:val="bottom"/>
            <w:tcBorders>
              <w:bottom w:val="single" w:sz="8" w:color="999999"/>
            </w:tcBorders>
          </w:tcPr>
          <w:p>
            <w:pPr>
              <w:jc w:val="right"/>
              <w:ind w:right="278"/>
              <w:spacing w:after="0"/>
              <w:rPr>
                <w:sz w:val="20"/>
                <w:szCs w:val="20"/>
                <w:color w:val="auto"/>
              </w:rPr>
            </w:pPr>
            <w:r>
              <w:rPr>
                <w:rFonts w:ascii="Times New Roman" w:cs="Times New Roman" w:eastAsia="Times New Roman" w:hAnsi="Times New Roman"/>
                <w:sz w:val="17"/>
                <w:szCs w:val="17"/>
                <w:color w:val="auto"/>
              </w:rPr>
              <w:t>1,150,735</w:t>
            </w:r>
          </w:p>
        </w:tc>
        <w:tc>
          <w:tcPr>
            <w:tcW w:w="1780" w:type="dxa"/>
            <w:vAlign w:val="bottom"/>
            <w:tcBorders>
              <w:bottom w:val="single" w:sz="8" w:color="999999"/>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175"/>
        </w:trPr>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4"/>
                <w:szCs w:val="14"/>
                <w:color w:val="auto"/>
              </w:rPr>
              <w:t>FourSixThree Capital LP</w:t>
            </w:r>
            <w:r>
              <w:rPr>
                <w:rFonts w:ascii="Times New Roman" w:cs="Times New Roman" w:eastAsia="Times New Roman" w:hAnsi="Times New Roman"/>
                <w:sz w:val="20"/>
                <w:szCs w:val="20"/>
                <w:color w:val="auto"/>
                <w:vertAlign w:val="superscript"/>
              </w:rPr>
              <w:t>(10)</w:t>
            </w:r>
          </w:p>
        </w:tc>
        <w:tc>
          <w:tcPr>
            <w:tcW w:w="2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5940" w:type="dxa"/>
            <w:vAlign w:val="bottom"/>
          </w:tcPr>
          <w:p>
            <w:pPr>
              <w:ind w:left="200"/>
              <w:spacing w:after="0" w:line="190" w:lineRule="exact"/>
              <w:rPr>
                <w:sz w:val="20"/>
                <w:szCs w:val="20"/>
                <w:color w:val="auto"/>
              </w:rPr>
            </w:pPr>
            <w:r>
              <w:rPr>
                <w:rFonts w:ascii="Times New Roman" w:cs="Times New Roman" w:eastAsia="Times New Roman" w:hAnsi="Times New Roman"/>
                <w:sz w:val="17"/>
                <w:szCs w:val="17"/>
                <w:color w:val="auto"/>
              </w:rPr>
              <w:t>520 Madison Avenue</w:t>
            </w:r>
          </w:p>
        </w:tc>
        <w:tc>
          <w:tcPr>
            <w:tcW w:w="2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8"/>
        </w:trPr>
        <w:tc>
          <w:tcPr>
            <w:tcW w:w="596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Floor</w:t>
            </w:r>
          </w:p>
        </w:tc>
        <w:tc>
          <w:tcPr>
            <w:tcW w:w="2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5960" w:type="dxa"/>
            <w:vAlign w:val="bottom"/>
            <w:tcBorders>
              <w:bottom w:val="single" w:sz="8" w:color="999999"/>
            </w:tcBorders>
            <w:gridSpan w:val="2"/>
          </w:tcPr>
          <w:p>
            <w:pPr>
              <w:spacing w:after="0"/>
              <w:rPr>
                <w:sz w:val="20"/>
                <w:szCs w:val="20"/>
                <w:color w:val="auto"/>
              </w:rPr>
            </w:pPr>
            <w:r>
              <w:rPr>
                <w:rFonts w:ascii="Times New Roman" w:cs="Times New Roman" w:eastAsia="Times New Roman" w:hAnsi="Times New Roman"/>
                <w:sz w:val="17"/>
                <w:szCs w:val="17"/>
                <w:color w:val="auto"/>
              </w:rPr>
              <w:t>New York, NY 10022</w:t>
            </w:r>
          </w:p>
        </w:tc>
        <w:tc>
          <w:tcPr>
            <w:tcW w:w="2180" w:type="dxa"/>
            <w:vAlign w:val="bottom"/>
            <w:tcBorders>
              <w:bottom w:val="single" w:sz="8" w:color="999999"/>
            </w:tcBorders>
          </w:tcPr>
          <w:p>
            <w:pPr>
              <w:jc w:val="right"/>
              <w:ind w:right="278"/>
              <w:spacing w:after="0"/>
              <w:rPr>
                <w:sz w:val="20"/>
                <w:szCs w:val="20"/>
                <w:color w:val="auto"/>
              </w:rPr>
            </w:pPr>
            <w:r>
              <w:rPr>
                <w:rFonts w:ascii="Times New Roman" w:cs="Times New Roman" w:eastAsia="Times New Roman" w:hAnsi="Times New Roman"/>
                <w:sz w:val="17"/>
                <w:szCs w:val="17"/>
                <w:color w:val="auto"/>
              </w:rPr>
              <w:t>950,000</w:t>
            </w:r>
          </w:p>
        </w:tc>
        <w:tc>
          <w:tcPr>
            <w:tcW w:w="1780" w:type="dxa"/>
            <w:vAlign w:val="bottom"/>
            <w:tcBorders>
              <w:bottom w:val="single" w:sz="8" w:color="999999"/>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175"/>
        </w:trPr>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4"/>
                <w:szCs w:val="14"/>
                <w:color w:val="auto"/>
              </w:rPr>
              <w:t>Barclays PLC</w:t>
            </w:r>
            <w:r>
              <w:rPr>
                <w:rFonts w:ascii="Times New Roman" w:cs="Times New Roman" w:eastAsia="Times New Roman" w:hAnsi="Times New Roman"/>
                <w:sz w:val="20"/>
                <w:szCs w:val="20"/>
                <w:color w:val="auto"/>
                <w:vertAlign w:val="superscript"/>
              </w:rPr>
              <w:t>(11)</w:t>
            </w:r>
          </w:p>
        </w:tc>
        <w:tc>
          <w:tcPr>
            <w:tcW w:w="2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405 Lexington Avenue</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58th Floor</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5960" w:type="dxa"/>
            <w:vAlign w:val="bottom"/>
            <w:tcBorders>
              <w:bottom w:val="single" w:sz="8" w:color="999999"/>
            </w:tcBorders>
            <w:gridSpan w:val="2"/>
          </w:tcPr>
          <w:p>
            <w:pPr>
              <w:spacing w:after="0"/>
              <w:rPr>
                <w:sz w:val="20"/>
                <w:szCs w:val="20"/>
                <w:color w:val="auto"/>
              </w:rPr>
            </w:pPr>
            <w:r>
              <w:rPr>
                <w:rFonts w:ascii="Times New Roman" w:cs="Times New Roman" w:eastAsia="Times New Roman" w:hAnsi="Times New Roman"/>
                <w:sz w:val="17"/>
                <w:szCs w:val="17"/>
                <w:color w:val="auto"/>
              </w:rPr>
              <w:t>New York, New York 10174</w:t>
            </w:r>
          </w:p>
        </w:tc>
        <w:tc>
          <w:tcPr>
            <w:tcW w:w="2180" w:type="dxa"/>
            <w:vAlign w:val="bottom"/>
            <w:tcBorders>
              <w:bottom w:val="single" w:sz="8" w:color="999999"/>
            </w:tcBorders>
          </w:tcPr>
          <w:p>
            <w:pPr>
              <w:jc w:val="right"/>
              <w:ind w:right="278"/>
              <w:spacing w:after="0"/>
              <w:rPr>
                <w:sz w:val="20"/>
                <w:szCs w:val="20"/>
                <w:color w:val="auto"/>
              </w:rPr>
            </w:pPr>
            <w:r>
              <w:rPr>
                <w:rFonts w:ascii="Times New Roman" w:cs="Times New Roman" w:eastAsia="Times New Roman" w:hAnsi="Times New Roman"/>
                <w:sz w:val="17"/>
                <w:szCs w:val="17"/>
                <w:color w:val="auto"/>
              </w:rPr>
              <w:t>864,840</w:t>
            </w:r>
          </w:p>
        </w:tc>
        <w:tc>
          <w:tcPr>
            <w:tcW w:w="1780" w:type="dxa"/>
            <w:vAlign w:val="bottom"/>
            <w:tcBorders>
              <w:bottom w:val="single" w:sz="8" w:color="999999"/>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7.2 %</w:t>
            </w:r>
          </w:p>
        </w:tc>
      </w:tr>
      <w:tr>
        <w:trPr>
          <w:trHeight w:val="175"/>
        </w:trPr>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4"/>
                <w:szCs w:val="14"/>
                <w:color w:val="auto"/>
              </w:rPr>
              <w:t>Saba Capital Management</w:t>
            </w:r>
            <w:r>
              <w:rPr>
                <w:rFonts w:ascii="Times New Roman" w:cs="Times New Roman" w:eastAsia="Times New Roman" w:hAnsi="Times New Roman"/>
                <w:sz w:val="20"/>
                <w:szCs w:val="20"/>
                <w:color w:val="auto"/>
                <w:vertAlign w:val="superscript"/>
              </w:rPr>
              <w:t>(12)</w:t>
            </w:r>
          </w:p>
        </w:tc>
        <w:tc>
          <w:tcPr>
            <w:tcW w:w="2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405 Lexington Avenue</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58th Floor</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5960" w:type="dxa"/>
            <w:vAlign w:val="bottom"/>
            <w:tcBorders>
              <w:bottom w:val="single" w:sz="8" w:color="999999"/>
            </w:tcBorders>
            <w:gridSpan w:val="2"/>
          </w:tcPr>
          <w:p>
            <w:pPr>
              <w:spacing w:after="0"/>
              <w:rPr>
                <w:sz w:val="20"/>
                <w:szCs w:val="20"/>
                <w:color w:val="auto"/>
              </w:rPr>
            </w:pPr>
            <w:r>
              <w:rPr>
                <w:rFonts w:ascii="Times New Roman" w:cs="Times New Roman" w:eastAsia="Times New Roman" w:hAnsi="Times New Roman"/>
                <w:sz w:val="17"/>
                <w:szCs w:val="17"/>
                <w:color w:val="auto"/>
              </w:rPr>
              <w:t>New York, New York 10174</w:t>
            </w:r>
          </w:p>
        </w:tc>
        <w:tc>
          <w:tcPr>
            <w:tcW w:w="2180" w:type="dxa"/>
            <w:vAlign w:val="bottom"/>
            <w:tcBorders>
              <w:bottom w:val="single" w:sz="8" w:color="999999"/>
            </w:tcBorders>
          </w:tcPr>
          <w:p>
            <w:pPr>
              <w:jc w:val="right"/>
              <w:ind w:right="278"/>
              <w:spacing w:after="0"/>
              <w:rPr>
                <w:sz w:val="20"/>
                <w:szCs w:val="20"/>
                <w:color w:val="auto"/>
              </w:rPr>
            </w:pPr>
            <w:r>
              <w:rPr>
                <w:rFonts w:ascii="Times New Roman" w:cs="Times New Roman" w:eastAsia="Times New Roman" w:hAnsi="Times New Roman"/>
                <w:sz w:val="17"/>
                <w:szCs w:val="17"/>
                <w:color w:val="auto"/>
              </w:rPr>
              <w:t>696,717</w:t>
            </w:r>
          </w:p>
        </w:tc>
        <w:tc>
          <w:tcPr>
            <w:tcW w:w="1780" w:type="dxa"/>
            <w:vAlign w:val="bottom"/>
            <w:tcBorders>
              <w:bottom w:val="single" w:sz="8" w:color="999999"/>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5.8 %</w:t>
            </w:r>
          </w:p>
        </w:tc>
      </w:tr>
      <w:tr>
        <w:trPr>
          <w:trHeight w:val="175"/>
        </w:trPr>
        <w:tc>
          <w:tcPr>
            <w:tcW w:w="5960" w:type="dxa"/>
            <w:vAlign w:val="bottom"/>
            <w:gridSpan w:val="2"/>
          </w:tcPr>
          <w:p>
            <w:pPr>
              <w:spacing w:after="0" w:line="175" w:lineRule="exact"/>
              <w:rPr>
                <w:sz w:val="20"/>
                <w:szCs w:val="20"/>
                <w:color w:val="auto"/>
              </w:rPr>
            </w:pPr>
            <w:r>
              <w:rPr>
                <w:rFonts w:ascii="Times New Roman" w:cs="Times New Roman" w:eastAsia="Times New Roman" w:hAnsi="Times New Roman"/>
                <w:sz w:val="14"/>
                <w:szCs w:val="14"/>
                <w:color w:val="auto"/>
              </w:rPr>
              <w:t>The Vanguard Group</w:t>
            </w:r>
            <w:r>
              <w:rPr>
                <w:rFonts w:ascii="Times New Roman" w:cs="Times New Roman" w:eastAsia="Times New Roman" w:hAnsi="Times New Roman"/>
                <w:sz w:val="20"/>
                <w:szCs w:val="20"/>
                <w:color w:val="auto"/>
                <w:vertAlign w:val="superscript"/>
              </w:rPr>
              <w:t>(13)</w:t>
            </w:r>
          </w:p>
        </w:tc>
        <w:tc>
          <w:tcPr>
            <w:tcW w:w="2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100 Vanguard Blvd.</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Malvern PA 19355</w:t>
            </w:r>
          </w:p>
        </w:tc>
        <w:tc>
          <w:tcPr>
            <w:tcW w:w="218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rPr>
              <w:t>662,033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175"/>
        </w:trPr>
        <w:tc>
          <w:tcPr>
            <w:tcW w:w="20" w:type="dxa"/>
            <w:vAlign w:val="bottom"/>
          </w:tcPr>
          <w:p>
            <w:pPr>
              <w:spacing w:after="0"/>
              <w:rPr>
                <w:sz w:val="15"/>
                <w:szCs w:val="15"/>
                <w:color w:val="auto"/>
              </w:rPr>
            </w:pPr>
          </w:p>
        </w:tc>
        <w:tc>
          <w:tcPr>
            <w:tcW w:w="5940" w:type="dxa"/>
            <w:vAlign w:val="bottom"/>
            <w:tcBorders>
              <w:top w:val="single" w:sz="8" w:color="999999"/>
            </w:tcBorders>
          </w:tcPr>
          <w:p>
            <w:pPr>
              <w:spacing w:after="0" w:line="175" w:lineRule="exact"/>
              <w:rPr>
                <w:sz w:val="20"/>
                <w:szCs w:val="20"/>
                <w:color w:val="auto"/>
              </w:rPr>
            </w:pPr>
            <w:r>
              <w:rPr>
                <w:rFonts w:ascii="Times New Roman" w:cs="Times New Roman" w:eastAsia="Times New Roman" w:hAnsi="Times New Roman"/>
                <w:sz w:val="14"/>
                <w:szCs w:val="14"/>
                <w:color w:val="auto"/>
              </w:rPr>
              <w:t>The TCW Group, Inc.</w:t>
            </w:r>
            <w:r>
              <w:rPr>
                <w:rFonts w:ascii="Times New Roman" w:cs="Times New Roman" w:eastAsia="Times New Roman" w:hAnsi="Times New Roman"/>
                <w:sz w:val="20"/>
                <w:szCs w:val="20"/>
                <w:color w:val="auto"/>
                <w:vertAlign w:val="superscript"/>
              </w:rPr>
              <w:t>(14)</w:t>
            </w:r>
          </w:p>
        </w:tc>
        <w:tc>
          <w:tcPr>
            <w:tcW w:w="2180" w:type="dxa"/>
            <w:vAlign w:val="bottom"/>
            <w:tcBorders>
              <w:top w:val="single" w:sz="8" w:color="999999"/>
            </w:tcBorders>
          </w:tcPr>
          <w:p>
            <w:pPr>
              <w:spacing w:after="0"/>
              <w:rPr>
                <w:sz w:val="15"/>
                <w:szCs w:val="15"/>
                <w:color w:val="auto"/>
              </w:rPr>
            </w:pPr>
          </w:p>
        </w:tc>
        <w:tc>
          <w:tcPr>
            <w:tcW w:w="1620" w:type="dxa"/>
            <w:vAlign w:val="bottom"/>
            <w:tcBorders>
              <w:top w:val="single" w:sz="8" w:color="999999"/>
            </w:tcBorders>
          </w:tcPr>
          <w:p>
            <w:pPr>
              <w:spacing w:after="0"/>
              <w:rPr>
                <w:sz w:val="15"/>
                <w:szCs w:val="15"/>
                <w:color w:val="auto"/>
              </w:rPr>
            </w:pPr>
          </w:p>
        </w:tc>
        <w:tc>
          <w:tcPr>
            <w:tcW w:w="160" w:type="dxa"/>
            <w:vAlign w:val="bottom"/>
            <w:tcBorders>
              <w:top w:val="single" w:sz="8" w:color="1D4E8F"/>
            </w:tcBorders>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515 South Flower Street</w:t>
            </w:r>
          </w:p>
        </w:tc>
        <w:tc>
          <w:tcPr>
            <w:tcW w:w="2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Los Angeles, CA 90071</w:t>
            </w:r>
          </w:p>
        </w:tc>
        <w:tc>
          <w:tcPr>
            <w:tcW w:w="2180" w:type="dxa"/>
            <w:vAlign w:val="bottom"/>
          </w:tcPr>
          <w:p>
            <w:pPr>
              <w:jc w:val="right"/>
              <w:ind w:right="278"/>
              <w:spacing w:after="0"/>
              <w:rPr>
                <w:sz w:val="20"/>
                <w:szCs w:val="20"/>
                <w:color w:val="auto"/>
              </w:rPr>
            </w:pPr>
            <w:r>
              <w:rPr>
                <w:rFonts w:ascii="Times New Roman" w:cs="Times New Roman" w:eastAsia="Times New Roman" w:hAnsi="Times New Roman"/>
                <w:sz w:val="17"/>
                <w:szCs w:val="17"/>
                <w:color w:val="auto"/>
              </w:rPr>
              <w:t>613,787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5.1 %</w:t>
            </w:r>
          </w:p>
        </w:tc>
      </w:tr>
      <w:tr>
        <w:trPr>
          <w:trHeight w:val="191"/>
        </w:trPr>
        <w:tc>
          <w:tcPr>
            <w:tcW w:w="20" w:type="dxa"/>
            <w:vAlign w:val="bottom"/>
          </w:tcPr>
          <w:p>
            <w:pPr>
              <w:spacing w:after="0"/>
              <w:rPr>
                <w:sz w:val="16"/>
                <w:szCs w:val="16"/>
                <w:color w:val="auto"/>
              </w:rPr>
            </w:pPr>
          </w:p>
        </w:tc>
        <w:tc>
          <w:tcPr>
            <w:tcW w:w="5940" w:type="dxa"/>
            <w:vAlign w:val="bottom"/>
            <w:tcBorders>
              <w:top w:val="single" w:sz="8" w:color="999999"/>
              <w:bottom w:val="single" w:sz="8" w:color="999999"/>
            </w:tcBorders>
          </w:tcPr>
          <w:p>
            <w:pPr>
              <w:spacing w:after="0" w:line="191" w:lineRule="exact"/>
              <w:rPr>
                <w:sz w:val="20"/>
                <w:szCs w:val="20"/>
                <w:color w:val="auto"/>
              </w:rPr>
            </w:pPr>
            <w:r>
              <w:rPr>
                <w:rFonts w:ascii="Times New Roman" w:cs="Times New Roman" w:eastAsia="Times New Roman" w:hAnsi="Times New Roman"/>
                <w:sz w:val="17"/>
                <w:szCs w:val="17"/>
                <w:color w:val="auto"/>
              </w:rPr>
              <w:t>All executive officers, trustees and nominees for trustee as a group (5 persons)</w:t>
            </w:r>
          </w:p>
        </w:tc>
        <w:tc>
          <w:tcPr>
            <w:tcW w:w="2180" w:type="dxa"/>
            <w:vAlign w:val="bottom"/>
            <w:tcBorders>
              <w:top w:val="single" w:sz="8" w:color="999999"/>
              <w:bottom w:val="single" w:sz="8" w:color="999999"/>
            </w:tcBorders>
          </w:tcPr>
          <w:p>
            <w:pPr>
              <w:jc w:val="right"/>
              <w:ind w:right="278"/>
              <w:spacing w:after="0" w:line="191" w:lineRule="exact"/>
              <w:rPr>
                <w:sz w:val="20"/>
                <w:szCs w:val="20"/>
                <w:color w:val="auto"/>
              </w:rPr>
            </w:pPr>
            <w:r>
              <w:rPr>
                <w:rFonts w:ascii="Times New Roman" w:cs="Times New Roman" w:eastAsia="Times New Roman" w:hAnsi="Times New Roman"/>
                <w:sz w:val="17"/>
                <w:szCs w:val="17"/>
                <w:color w:val="auto"/>
              </w:rPr>
              <w:t>494,513</w:t>
            </w:r>
          </w:p>
        </w:tc>
        <w:tc>
          <w:tcPr>
            <w:tcW w:w="1620" w:type="dxa"/>
            <w:vAlign w:val="bottom"/>
            <w:tcBorders>
              <w:top w:val="single" w:sz="8" w:color="999999"/>
              <w:bottom w:val="single" w:sz="8" w:color="999999"/>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4.1</w:t>
            </w:r>
          </w:p>
        </w:tc>
        <w:tc>
          <w:tcPr>
            <w:tcW w:w="160" w:type="dxa"/>
            <w:vAlign w:val="bottom"/>
            <w:tcBorders>
              <w:top w:val="single" w:sz="8" w:color="1D4E8F"/>
              <w:bottom w:val="single" w:sz="8" w:color="1D4E8F"/>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r>
    </w:tbl>
    <w:p>
      <w:pPr>
        <w:spacing w:after="0" w:line="182" w:lineRule="exact"/>
        <w:rPr>
          <w:sz w:val="20"/>
          <w:szCs w:val="20"/>
          <w:color w:val="auto"/>
        </w:rPr>
      </w:pPr>
    </w:p>
    <w:p>
      <w:pPr>
        <w:ind w:left="460" w:hanging="459"/>
        <w:spacing w:after="0"/>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140" w:lineRule="exact"/>
        <w:rPr>
          <w:sz w:val="20"/>
          <w:szCs w:val="20"/>
          <w:color w:val="auto"/>
        </w:rPr>
      </w:pPr>
    </w:p>
    <w:p>
      <w:pPr>
        <w:ind w:left="380" w:right="80" w:hanging="379"/>
        <w:spacing w:after="0" w:line="268" w:lineRule="auto"/>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indicated and subject to applicable community property laws and similar statutes, the person listed as the beneficial owner of shares has sole voting power and dispositive power with respect to the shares.</w:t>
      </w:r>
    </w:p>
    <w:p>
      <w:pPr>
        <w:spacing w:after="0" w:line="97" w:lineRule="exact"/>
        <w:rPr>
          <w:rFonts w:ascii="Times New Roman" w:cs="Times New Roman" w:eastAsia="Times New Roman" w:hAnsi="Times New Roman"/>
          <w:sz w:val="17"/>
          <w:szCs w:val="17"/>
          <w:color w:val="auto"/>
        </w:rPr>
      </w:pPr>
    </w:p>
    <w:p>
      <w:pPr>
        <w:ind w:left="380" w:hanging="379"/>
        <w:spacing w:after="0"/>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27, 2026, 12,081,333 shares of our common stock were outstanding.</w:t>
      </w:r>
    </w:p>
    <w:p>
      <w:pPr>
        <w:spacing w:after="0" w:line="127" w:lineRule="exact"/>
        <w:rPr>
          <w:rFonts w:ascii="Times New Roman" w:cs="Times New Roman" w:eastAsia="Times New Roman" w:hAnsi="Times New Roman"/>
          <w:sz w:val="17"/>
          <w:szCs w:val="17"/>
          <w:color w:val="auto"/>
        </w:rPr>
      </w:pPr>
    </w:p>
    <w:p>
      <w:pPr>
        <w:ind w:left="380" w:hanging="379"/>
        <w:spacing w:after="0"/>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Star Holdings, 1114 Avenue of the Americas, 39th Floor, New York, NY 10036.</w:t>
      </w:r>
    </w:p>
    <w:p>
      <w:pPr>
        <w:spacing w:after="0" w:line="140" w:lineRule="exact"/>
        <w:rPr>
          <w:rFonts w:ascii="Times New Roman" w:cs="Times New Roman" w:eastAsia="Times New Roman" w:hAnsi="Times New Roman"/>
          <w:sz w:val="17"/>
          <w:szCs w:val="17"/>
          <w:color w:val="auto"/>
        </w:rPr>
      </w:pPr>
    </w:p>
    <w:p>
      <w:pPr>
        <w:ind w:left="380" w:hanging="379"/>
        <w:spacing w:after="0"/>
        <w:tabs>
          <w:tab w:leader="none" w:pos="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17,499 shares of common stock owned directly by Ms. Matis.</w:t>
      </w:r>
    </w:p>
    <w:p>
      <w:pPr>
        <w:spacing w:after="0" w:line="38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 xml:space="preserve">Star Holdings 2026 Proxy Statement | </w:t>
      </w:r>
      <w:r>
        <w:rPr>
          <w:rFonts w:ascii="Times New Roman" w:cs="Times New Roman" w:eastAsia="Times New Roman" w:hAnsi="Times New Roman"/>
          <w:sz w:val="16"/>
          <w:szCs w:val="16"/>
          <w:b w:val="1"/>
          <w:bCs w:val="1"/>
          <w:color w:val="1D4E8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346075</wp:posOffset>
            </wp:positionV>
            <wp:extent cx="630682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-102870</wp:posOffset>
            </wp:positionV>
            <wp:extent cx="607695"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wp:posOffset>
            </wp:positionV>
            <wp:extent cx="595122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51220" cy="7620"/>
                    </a:xfrm>
                    <a:prstGeom prst="rect">
                      <a:avLst/>
                    </a:prstGeom>
                    <a:noFill/>
                  </pic:spPr>
                </pic:pic>
              </a:graphicData>
            </a:graphic>
          </wp:anchor>
        </w:drawing>
      </w:r>
    </w:p>
    <w:p>
      <w:pPr>
        <w:spacing w:after="0" w:line="266" w:lineRule="exact"/>
        <w:rPr>
          <w:sz w:val="20"/>
          <w:szCs w:val="20"/>
          <w:color w:val="auto"/>
        </w:rPr>
      </w:pPr>
    </w:p>
    <w:p>
      <w:pPr>
        <w:ind w:left="380" w:hanging="379"/>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12,898 shares of common stock owned directly by Mr. De Souza.</w:t>
      </w:r>
    </w:p>
    <w:p>
      <w:pPr>
        <w:spacing w:after="0" w:line="140" w:lineRule="exact"/>
        <w:rPr>
          <w:rFonts w:ascii="Times New Roman" w:cs="Times New Roman" w:eastAsia="Times New Roman" w:hAnsi="Times New Roman"/>
          <w:sz w:val="17"/>
          <w:szCs w:val="17"/>
          <w:color w:val="auto"/>
        </w:rPr>
      </w:pPr>
    </w:p>
    <w:p>
      <w:pPr>
        <w:ind w:left="380" w:hanging="379"/>
        <w:spacing w:after="0"/>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6,370 shares of common stock owned directly by Mr. Lieb.</w:t>
      </w:r>
    </w:p>
    <w:p>
      <w:pPr>
        <w:spacing w:after="0" w:line="140" w:lineRule="exact"/>
        <w:rPr>
          <w:rFonts w:ascii="Times New Roman" w:cs="Times New Roman" w:eastAsia="Times New Roman" w:hAnsi="Times New Roman"/>
          <w:sz w:val="17"/>
          <w:szCs w:val="17"/>
          <w:color w:val="auto"/>
        </w:rPr>
      </w:pPr>
    </w:p>
    <w:p>
      <w:pPr>
        <w:ind w:left="380" w:right="240" w:hanging="379"/>
        <w:spacing w:after="0" w:line="256" w:lineRule="auto"/>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364,291 shares of common stock owned directly by Mr. Sugarman, 6,203 shares owned indirectly through Mr. Sugarman’s spouse, 23,235 shares owned indirectly through family trusts and 64,017 shares owned indirectly through a foundation, as to which Mr. Sugarman disclaims beneficial ownership, except to the extent of any pecuniary interest therein.</w:t>
      </w:r>
    </w:p>
    <w:p>
      <w:pPr>
        <w:spacing w:after="0" w:line="95" w:lineRule="exact"/>
        <w:rPr>
          <w:rFonts w:ascii="Times New Roman" w:cs="Times New Roman" w:eastAsia="Times New Roman" w:hAnsi="Times New Roman"/>
          <w:sz w:val="17"/>
          <w:szCs w:val="17"/>
          <w:color w:val="auto"/>
        </w:rPr>
      </w:pPr>
    </w:p>
    <w:p>
      <w:pPr>
        <w:ind w:left="380" w:right="20" w:hanging="379"/>
        <w:spacing w:after="0" w:line="256" w:lineRule="auto"/>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beneficial ownership information is based solely on a Schedule 13G, dated February 14, 2025, filed jointly with the SEC by TD Securities (USA) LLC, Cowen and Company, LLC, Toronto Dominion Holdings USA Inc, TD Group US Holdings LLC, and Toronto Dominion Bank. TD Securities (USA) LLC is the direct holder of 1,299,902 shares.</w:t>
      </w:r>
    </w:p>
    <w:p>
      <w:pPr>
        <w:spacing w:after="0" w:line="107" w:lineRule="exact"/>
        <w:rPr>
          <w:rFonts w:ascii="Times New Roman" w:cs="Times New Roman" w:eastAsia="Times New Roman" w:hAnsi="Times New Roman"/>
          <w:sz w:val="17"/>
          <w:szCs w:val="17"/>
          <w:color w:val="auto"/>
        </w:rPr>
      </w:pPr>
    </w:p>
    <w:p>
      <w:pPr>
        <w:ind w:left="380" w:right="420" w:hanging="379"/>
        <w:spacing w:after="0" w:line="268" w:lineRule="auto"/>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beneficial ownership information is based solely on a Schedule 13G, dated April 25, 2025, filed jointly with the SEC by Highbridge Capital Management, LLC, which beneficially owns 1,150,735 shares.</w:t>
      </w:r>
    </w:p>
    <w:p>
      <w:pPr>
        <w:spacing w:after="0" w:line="85" w:lineRule="exact"/>
        <w:rPr>
          <w:rFonts w:ascii="Times New Roman" w:cs="Times New Roman" w:eastAsia="Times New Roman" w:hAnsi="Times New Roman"/>
          <w:sz w:val="17"/>
          <w:szCs w:val="17"/>
          <w:color w:val="auto"/>
        </w:rPr>
      </w:pPr>
    </w:p>
    <w:p>
      <w:pPr>
        <w:ind w:left="380" w:right="40" w:hanging="379"/>
        <w:spacing w:after="0" w:line="256" w:lineRule="auto"/>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beneficial ownership information is based solely on a Schedule 13G, dated November 13, 2024, filed jointly with the SEC by FourSixThree Capital LP, SixFourThree GP, LLC, William M. Kelly and Richard S. Balkan (together, the “Reporting Persons”) The Reporting Persons beneficially own 950,000 shares.</w:t>
      </w:r>
    </w:p>
    <w:p>
      <w:pPr>
        <w:spacing w:after="0" w:line="107" w:lineRule="exact"/>
        <w:rPr>
          <w:rFonts w:ascii="Times New Roman" w:cs="Times New Roman" w:eastAsia="Times New Roman" w:hAnsi="Times New Roman"/>
          <w:sz w:val="17"/>
          <w:szCs w:val="17"/>
          <w:color w:val="auto"/>
        </w:rPr>
      </w:pPr>
    </w:p>
    <w:p>
      <w:pPr>
        <w:ind w:left="380" w:right="360" w:hanging="379"/>
        <w:spacing w:after="0" w:line="268" w:lineRule="auto"/>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beneficial ownership information is based solely on a Schedule 13G, dated February 11, 2026, filed jointly with the SEC by Barclays PLC, which beneficially owns 864,840 shares.</w:t>
      </w:r>
    </w:p>
    <w:p>
      <w:pPr>
        <w:spacing w:after="0" w:line="97" w:lineRule="exact"/>
        <w:rPr>
          <w:rFonts w:ascii="Times New Roman" w:cs="Times New Roman" w:eastAsia="Times New Roman" w:hAnsi="Times New Roman"/>
          <w:sz w:val="17"/>
          <w:szCs w:val="17"/>
          <w:color w:val="auto"/>
        </w:rPr>
      </w:pPr>
    </w:p>
    <w:p>
      <w:pPr>
        <w:ind w:left="380" w:right="100" w:hanging="379"/>
        <w:spacing w:after="0" w:line="256" w:lineRule="auto"/>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beneficial ownership information is based solely on a Schedule 13G, as amended, dated February 14, 2024, filed jointly with the SEC by Saba Capital Management, L.P., Saba Capital Management GP, LLC, and Mr. Boaz R. Weinstein (together, the "Reporting Persons”). The Reporting Persons beneficially own 696,717 shares.</w:t>
      </w:r>
    </w:p>
    <w:p>
      <w:pPr>
        <w:spacing w:after="0" w:line="95" w:lineRule="exact"/>
        <w:rPr>
          <w:rFonts w:ascii="Times New Roman" w:cs="Times New Roman" w:eastAsia="Times New Roman" w:hAnsi="Times New Roman"/>
          <w:sz w:val="17"/>
          <w:szCs w:val="17"/>
          <w:color w:val="auto"/>
        </w:rPr>
      </w:pPr>
    </w:p>
    <w:p>
      <w:pPr>
        <w:ind w:left="380" w:right="360" w:hanging="379"/>
        <w:spacing w:after="0" w:line="256" w:lineRule="auto"/>
        <w:tabs>
          <w:tab w:leader="none" w:pos="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beneficial ownership information is based solely on a Schedule 13G, as amended, dated January 31, 2025, filed with the SEC by The Vanguard Group. The Vanguard Group beneficially owns 662,033 shares, with shared power to vote 5,498 of such shares, sole power to dispose of 649,820 of such shares, and shared power to dispose of 12,213 of such shares.</w:t>
      </w:r>
    </w:p>
    <w:p>
      <w:pPr>
        <w:spacing w:after="0" w:line="107" w:lineRule="exact"/>
        <w:rPr>
          <w:rFonts w:ascii="Times New Roman" w:cs="Times New Roman" w:eastAsia="Times New Roman" w:hAnsi="Times New Roman"/>
          <w:sz w:val="17"/>
          <w:szCs w:val="17"/>
          <w:color w:val="auto"/>
        </w:rPr>
      </w:pPr>
    </w:p>
    <w:p>
      <w:pPr>
        <w:ind w:left="380" w:hanging="379"/>
        <w:spacing w:after="0" w:line="268" w:lineRule="auto"/>
        <w:tabs>
          <w:tab w:leader="none" w:pos="3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This beneficial ownership information is based solely on a Schedule 13G, dated March 5, 2026, filed jointly with the SEC by The TCW Group, Inc., on behalf of the TCW Business Unit, which beneficially owns 613,787 shares.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22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00"/>
          </w:cols>
          <w:pgMar w:left="980" w:top="359"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306820"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Related Party Transactions</w:t>
      </w:r>
    </w:p>
    <w:p>
      <w:pPr>
        <w:spacing w:after="0" w:line="21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It is the policy of our Board that all transactions between the Company and a “related party” must be approved or ratified by at least a majority of the members of the Board who have no financial or other interest in the transaction. For this purpose, a related party includes any trustee or executive officer, any nominee for trustee, any shareholder owning 5% of more of our outstanding shares, and any immediate family member of any such person.</w:t>
      </w:r>
    </w:p>
    <w:p>
      <w:pPr>
        <w:spacing w:after="0" w:line="111"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7"/>
          <w:szCs w:val="17"/>
          <w:color w:val="auto"/>
        </w:rPr>
        <w:t>Specifically, our current policy regarding any transactions in which we and Safe are participants or any transaction in which our Manager has a conflict of interest requires approval by a majority of our independent trustees.</w:t>
      </w:r>
    </w:p>
    <w:p>
      <w:pPr>
        <w:spacing w:after="0" w:line="9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7"/>
          <w:szCs w:val="17"/>
          <w:color w:val="auto"/>
        </w:rPr>
        <w:t>In determining whether to approve or ratify a related party transaction, the Board will take into account, among other factors it deems appropriate, whether the transaction is on terms no less favorable than terms generally available to an unaffiliated third party under the same or similar circumstances, whether the transaction is inconsistent with the interests of the Company and its shareholders and the extent of the related party’s interest in the transaction. No trustee will participate in any discussion or approval of a related party transaction for which such trustee is a related party, except that such a trustee will provide all material information concerning the related party transaction to our Board.</w:t>
      </w:r>
    </w:p>
    <w:p>
      <w:pPr>
        <w:spacing w:after="0" w:line="10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If a related party transaction will be ongoing, the Board may establish guidelines for management to follow in its ongoing dealings with the related party. The Board may delegate to our Audit Committee the authority to review and assess, on at least an annual basis, any such ongoing relationships with the related party to confirm they are in compliance with the Board’s guidelines.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related party transactions will be disclosed in our applicable filings with the SEC as required under SEC rules.</w:t>
      </w:r>
    </w:p>
    <w:p>
      <w:pPr>
        <w:spacing w:after="0" w:line="12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color w:val="auto"/>
        </w:rPr>
        <w:t>In connection with the Spin-Off, the Company entered into the Separation and Distribution Agreement, a management agreement with the Manager (amended from time to time, the "Management Agreement"), a governance agreement with Safe (the "Governance Agreement") and a registration rights agreement with Safe (the "Registration Rights Agreement"). We also entered into a credit facility with Safe (amended from time to time, the "Safe Credit Facility").</w:t>
      </w:r>
    </w:p>
    <w:p>
      <w:pPr>
        <w:spacing w:after="0" w:line="11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u w:val="single" w:color="auto"/>
          <w:color w:val="auto"/>
        </w:rPr>
        <w:t>Separation and Distribution Agreement</w:t>
      </w:r>
      <w:r>
        <w:rPr>
          <w:rFonts w:ascii="Times New Roman" w:cs="Times New Roman" w:eastAsia="Times New Roman" w:hAnsi="Times New Roman"/>
          <w:sz w:val="17"/>
          <w:szCs w:val="17"/>
          <w:color w:val="auto"/>
        </w:rPr>
        <w:t xml:space="preserve"> —The Separation and Distribution Agreement provides for, among other things, the principal corporate transactions required to effect the Spin-Off and provisions governing Star Holdings' relationship with Safe with respect to and following the Spin-Off. The Separation and Distribution Agreement includes provisions allocating assets and liabilities between Star Holdings and Safe and various post-closing covenants relating to, among other things, the treatment of the parties’ insurance policies, information sharing and other operational matters. The Separation and Distribution Agreement includes a mutual release by Star Holdings, on the one hand, and Safe, on the other hand, of the other party from certain specified liabilities, as well as mutual indemnification covenants pursuant to which Star Holdings and Safe have agreed to indemnify each other from certain specified liabilities.</w:t>
      </w:r>
    </w:p>
    <w:p>
      <w:pPr>
        <w:spacing w:after="0" w:line="115"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7"/>
          <w:szCs w:val="17"/>
          <w:u w:val="single" w:color="auto"/>
          <w:color w:val="auto"/>
        </w:rPr>
        <w:t>Management Agreement</w:t>
      </w:r>
      <w:r>
        <w:rPr>
          <w:rFonts w:ascii="Times New Roman" w:cs="Times New Roman" w:eastAsia="Times New Roman" w:hAnsi="Times New Roman"/>
          <w:sz w:val="17"/>
          <w:szCs w:val="17"/>
          <w:color w:val="auto"/>
        </w:rPr>
        <w:t>—The Company entered into the Management Agreement with the Manager, a subsidiary of Safe. The Management Agreement, amended from time to time, requires the Manager to manage the Company’s assets and its and its subsidiaries’ day-to-day operations, subject to the supervision of our Board. Pursuant to the Management Agreement, the Manager is required to provide the Company with a management team, including a chief executive officer, a chief financial officer and a chief compliance officer, along with support personnel, to provide the management services to be provided by the Manager to the Company. The Manager does not assume any responsibility other than to render the services called for thereunder and is not responsible for any action of the Board in following or declining to follow its advice or recommendations.</w:t>
      </w:r>
    </w:p>
    <w:p>
      <w:pPr>
        <w:spacing w:after="0" w:line="10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The initial term of the Management Agreement expired on the first anniversary of the date of the Management Agreement and will be automatically renewed for a one-year term each anniversary date thereafter unless previously terminated pursuant to the terms thereof. The Company paid the Manager management fees of $25.0 million for the annual term ended March 31, 2024, $15.0 million for the annual term ended March 31, 2025 and $10.0 million for the annual term ended March 31, 2026. The annual fee declines to $7.5 million in the following annual term and adjusts to 2.0% of the gross book value of the Company’s assets, excluding the Safe Shares, thereafter. The Company will also reimburse the Manager for third party expenses incurred in connection with its services. During the year ended December 31, 2025, the Company recorded $11.3 million of management fees to the Manager.</w:t>
      </w: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Star Holdings 2026 Proxy Statement | </w:t>
      </w:r>
      <w:r>
        <w:rPr>
          <w:rFonts w:ascii="Times New Roman" w:cs="Times New Roman" w:eastAsia="Times New Roman" w:hAnsi="Times New Roman"/>
          <w:sz w:val="17"/>
          <w:szCs w:val="17"/>
          <w:b w:val="1"/>
          <w:bCs w:val="1"/>
          <w:color w:val="1D4E8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630682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68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607695"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6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The Management Agreement may be terminated by the Company without cause by not less than one hundred eighty days’ written notice to the Manager upon the affirmative vote of at least two-thirds of the Company’s independent directors, provided, however, that if the date of termination occurs prior to March 31, 2027, the termination will be subject to payment of the applicable termination fee to the Manager. The Company may also terminate the Management Agreement at any time with 30 days’ prior written notice from the Company’s board of trustees for “cause,” as defined in the Management Agreement.</w:t>
      </w:r>
    </w:p>
    <w:p>
      <w:pPr>
        <w:spacing w:after="0" w:line="17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In the event of a termination without cause by the Company prior to March 31, 2027, the Company will pay the Manager a termination fee of $55.0 million minus the aggregate amount of management fees actually paid to the Manager prior to the termination date. However, if the Company has completed the liquidation of its assets on or before the termination date, the termination fee will consist of any portion of the annual management fee that remained unpaid for the remainder of the then current annual term.</w:t>
      </w:r>
    </w:p>
    <w:p>
      <w:pPr>
        <w:spacing w:after="0" w:line="11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u w:val="single" w:color="auto"/>
          <w:color w:val="auto"/>
        </w:rPr>
        <w:t>Governance Agreement</w:t>
      </w:r>
      <w:r>
        <w:rPr>
          <w:rFonts w:ascii="Times New Roman" w:cs="Times New Roman" w:eastAsia="Times New Roman" w:hAnsi="Times New Roman"/>
          <w:sz w:val="17"/>
          <w:szCs w:val="17"/>
          <w:color w:val="auto"/>
        </w:rPr>
        <w:t>—The Company and Safe entered into a governance agreement (the “Governance Agreement”) in order to establish various arrangements and restrictions with respect to the governance of the Company and certain rights and restrictions with respect to the Safe Shares owned by the Company.</w:t>
      </w:r>
    </w:p>
    <w:p>
      <w:pPr>
        <w:spacing w:after="0" w:line="10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7"/>
          <w:szCs w:val="17"/>
          <w:color w:val="auto"/>
        </w:rPr>
        <w:t>The Company and its subsidiaries are prohibited from transferring at any time any of the Safe Shares held by the Company or its subsidiaries to any person who is known by the Company or its subsidiaries to be an “Activist” or “Company Competitor” (as such terms are defined in the Governance Agreement), or to any group that, to the knowledge of the Company or its subsidiaries, includes as “Activist” or “Company Competitor,” without first obtaining the Safe’s prior written consent.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a “restrictive period” which lasts until the earliest to occur of (i) the effective date on which Safe terminates the Management Agreement; or</w:t>
      </w:r>
    </w:p>
    <w:p>
      <w:pPr>
        <w:spacing w:after="0" w:line="32" w:lineRule="exact"/>
        <w:rPr>
          <w:sz w:val="20"/>
          <w:szCs w:val="20"/>
          <w:color w:val="auto"/>
        </w:rPr>
      </w:pPr>
    </w:p>
    <w:p>
      <w:pPr>
        <w:ind w:right="40" w:firstLine="1"/>
        <w:spacing w:after="0" w:line="244" w:lineRule="auto"/>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we beneficially own less than 7.5% of Safe’s outstanding common stock and Safe is no longer our external Manager; or (iii) a Change of Control of Safe (as defined in the Governance Agreement), we and our directly or indirectly wholly owned subsidiaries are required to vote the Safe Shares in accordance with the recommendations of the board of directors of Safe. We have irrevocably designated and appointed the board of directors of Safe as our sole and exclusive attorney-in-fact and proxy with full power of substitution and re-substitution to exercise the voting power of our shares of Safe in accordance with these requirements. We will also be subject to certain standstill agreements during the restrictive period. The terms of such standstill agreements will restrict us from making certain acquisitions of Safe securities, seeking representation on Safe’s board of directors, participating in the solicitation of proxies or written consents of Safe shareholders, and taking other actions which could seek to influence or result in a change of control of Safe or cause or require Safe to make certain public announcements, except as permitted by the governance agreement or with the prior written consent of the independent directors of the board of directors of Safe.</w:t>
      </w:r>
    </w:p>
    <w:p>
      <w:pPr>
        <w:spacing w:after="0" w:line="12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—Under the Registration Rights Agreement, Safe has agreed to (i) register Star Holdings' shares of Safe common stock and the other registrable securities for resale by filing and maintaining a shelf registration statement; (ii) file a registration statement covering Star Holdings' shares of Safe common stock and other registrable securities pursuant to the demand right and (iii) allow Star Holdings to piggyback on certain other registration statements filed by Safe. Star Holdings may use the registration rights to sell its shares of Safe common stock in underwritten offerings, block trades and other methods of distribution. Star Holdings will be subject to certain suspension and lockup obligations. Star Holdings' registration rights will end, among other times, when it owns less than 2% of Safe's outstanding common stock and is able to sell all of the shares of Safe common stock pursuant to Rule 144(b) without restriction.</w:t>
      </w:r>
    </w:p>
    <w:p>
      <w:pPr>
        <w:spacing w:after="0" w:line="10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u w:val="single" w:color="auto"/>
          <w:color w:val="auto"/>
        </w:rPr>
        <w:t>Safe Credit Facility</w:t>
      </w:r>
      <w:r>
        <w:rPr>
          <w:rFonts w:ascii="Times New Roman" w:cs="Times New Roman" w:eastAsia="Times New Roman" w:hAnsi="Times New Roman"/>
          <w:sz w:val="17"/>
          <w:szCs w:val="17"/>
          <w:color w:val="auto"/>
        </w:rPr>
        <w:t>— Safe, as a lender and an administrative agent, provided Star Holdings, as a borrower, a senior secured term loan facility, amended from time to time, in an aggregate principal amount of $115.0 million and an additional commitment amount of up to $25.0 million outstanding at any time to replenish funds for (i) a “soft call” obligation under the margin loan with a third-party; or (ii) used to voluntarily prepay the margin loan with a third-party (“Incremental Term Loan Facility”).</w:t>
      </w:r>
    </w:p>
    <w:p>
      <w:pPr>
        <w:spacing w:after="0" w:line="11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The Safe Credit Facility is a secured credit facility. Borrowings under the Safe Credit Facility bear interest at a fixed rate of 8.00% per annum, which may increase to 10.00% per annum if any loans remain outstanding under the Incremental Term Loan Facility. The Safe Credit Facility has a maturity date of March 31, 2028. The Safe Credit Facility is secured by a first-priority perfected security pledge of all the equity interests in Star Holding’s primary real estate subsidiary. Since the first quarter of 2024, within five business days after Star Holdings has delivered its unaudited quarterly financial statements, Star Holdings has been required to apply any unrestricted cash on its balance sheet in excess of the aggregate of (i) an operating reserve; and (ii) $50 million, to prepay the Safe Credit Facility or alternatively, with the consent of the Safe, Star Holdings may apply such cash to prepay its margin loan with a third-party in lieu of any prepayment of the Safe Credit Facility. The operating reserve is calculated quarterly and is equal to the aggregate of projected operating expenses (including payments to the Star Holdings local property consultants but excluding management fees and public company costs), projected land carry costs, projected capital expenditure and projected interest expense on the margin loan with a third-party and the Safe Credit Facility for the next twelve months; less the projected operating revenues for the next twelve months consistent with the operating budget approved by Safe.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24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104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695" cy="11049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8AAAC"/>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6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The Safe Credit Facility requires that we comply with various covenants, including, without limitation, covenants restricting, subject to certain exceptions, indebtedness, liens, investments, mergers, asset sales and the payment of certain dividends. Additionally, the Safe Credit Facility includes customary representations and warranties as well as customary events of default, the occurrence of which, following any applicable grace period, would permit Safe to, among other things, declare the principal, accrued interest and other obligations of ours under the Safe Credit Facility to be immediately due and payable and foreclose on the collateral securing the Safe Credit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2025, the Company incurred $9.5 million of interest expense on the Safe Credit Facility.</w:t>
      </w:r>
    </w:p>
    <w:p>
      <w:pPr>
        <w:spacing w:after="0" w:line="140"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7"/>
          <w:szCs w:val="17"/>
          <w:u w:val="single" w:color="auto"/>
          <w:color w:val="auto"/>
        </w:rPr>
        <w:t>ATM Equity Offering Sales Agreement</w:t>
      </w:r>
      <w:r>
        <w:rPr>
          <w:rFonts w:ascii="Times New Roman" w:cs="Times New Roman" w:eastAsia="Times New Roman" w:hAnsi="Times New Roman"/>
          <w:sz w:val="17"/>
          <w:szCs w:val="17"/>
          <w:color w:val="auto"/>
        </w:rPr>
        <w:t>—On April 5, 2023, Star Investment Holdings SPV LLC (“Star Investment Holdings”), a subsidiary of Star Holdings formed to hold the Trust's Safe Shares entered into an ATM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7"/>
          <w:szCs w:val="17"/>
          <w:color w:val="auto"/>
        </w:rPr>
        <w:t xml:space="preserve"> Sales Agreement (the “Sales Agreement”) with Safe, Safehold GL Holdings LLC and certain sales agents (each, an “Agent” and, collectively, the “Agents”), pursuant to which Star Investment Holdings may sell, from time to time, subject to receiving Safe's consent, up to 1,000,000 Safe Shares through or to the Agents.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 xml:space="preserve">Star Holdings 2026 Proxy Statement | </w:t>
      </w:r>
      <w:r>
        <w:rPr>
          <w:rFonts w:ascii="Times New Roman" w:cs="Times New Roman" w:eastAsia="Times New Roman" w:hAnsi="Times New Roman"/>
          <w:sz w:val="16"/>
          <w:szCs w:val="16"/>
          <w:b w:val="1"/>
          <w:bCs w:val="1"/>
          <w:color w:val="1D4E8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346075</wp:posOffset>
            </wp:positionV>
            <wp:extent cx="630682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-102870</wp:posOffset>
            </wp:positionV>
            <wp:extent cx="607695" cy="1104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695" cy="11049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90"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40"/>
          <w:szCs w:val="40"/>
          <w:color w:val="auto"/>
        </w:rPr>
        <w:t xml:space="preserve">Information about the Annual Meeting of Shareholders | </w:t>
      </w:r>
      <w:r>
        <w:rPr>
          <w:rFonts w:ascii="Times New Roman" w:cs="Times New Roman" w:eastAsia="Times New Roman" w:hAnsi="Times New Roman"/>
          <w:sz w:val="40"/>
          <w:szCs w:val="40"/>
          <w:color w:val="1D4E8F"/>
        </w:rPr>
        <w:t>To</w:t>
      </w:r>
      <w:r>
        <w:rPr>
          <w:rFonts w:ascii="Times New Roman" w:cs="Times New Roman" w:eastAsia="Times New Roman" w:hAnsi="Times New Roman"/>
          <w:sz w:val="40"/>
          <w:szCs w:val="40"/>
          <w:color w:val="auto"/>
        </w:rPr>
        <w:t xml:space="preserve"> </w:t>
      </w:r>
      <w:r>
        <w:rPr>
          <w:rFonts w:ascii="Times New Roman" w:cs="Times New Roman" w:eastAsia="Times New Roman" w:hAnsi="Times New Roman"/>
          <w:sz w:val="40"/>
          <w:szCs w:val="40"/>
          <w:color w:val="1D4E8F"/>
        </w:rPr>
        <w:t>Be Held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wp:posOffset>
            </wp:positionV>
            <wp:extent cx="6306820"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pacing w:after="0" w:line="1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We are making this proxy statement available to holders of our common stock on or about April 7, 2026, in connection with the solicitation by our Board of proxies to be voted at our 2026 Annual Meeting or at any postponement or adjournment of the 2026 Annual Meeting.</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This proxy statement is accompanied by the Star Holdings Annual Report for the year ended December 31, 2025. The Star Holdings Annual Report, including the financial statements at December 31, 2025, is available on our website at </w:t>
      </w:r>
      <w:r>
        <w:rPr>
          <w:rFonts w:ascii="Times New Roman" w:cs="Times New Roman" w:eastAsia="Times New Roman" w:hAnsi="Times New Roman"/>
          <w:sz w:val="17"/>
          <w:szCs w:val="17"/>
          <w:color w:val="1D4E8F"/>
        </w:rPr>
        <w:t>www.starholdingsco.com/</w:t>
      </w:r>
      <w:r>
        <w:rPr>
          <w:rFonts w:ascii="Times New Roman" w:cs="Times New Roman" w:eastAsia="Times New Roman" w:hAnsi="Times New Roman"/>
          <w:sz w:val="17"/>
          <w:szCs w:val="17"/>
          <w:color w:val="auto"/>
        </w:rPr>
        <w:t xml:space="preserve"> by choosing “SEC Filings” or you can obtain a print copy, without charge, by contacting Investor Relations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29856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1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(212) 930-9400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29856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8565" cy="762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-113030</wp:posOffset>
            </wp:positionV>
            <wp:extent cx="228600" cy="220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8600" cy="220980"/>
                    </a:xfrm>
                    <a:prstGeom prst="rect">
                      <a:avLst/>
                    </a:prstGeom>
                    <a:noFill/>
                  </pic:spPr>
                </pic:pic>
              </a:graphicData>
            </a:graphic>
          </wp:anchor>
        </w:drawing>
      </w:r>
    </w:p>
    <w:p>
      <w:pPr>
        <w:spacing w:after="0" w:line="3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Star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-113030</wp:posOffset>
            </wp:positionV>
            <wp:extent cx="228600" cy="220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8600" cy="22098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7"/>
          <w:szCs w:val="17"/>
          <w:color w:val="auto"/>
        </w:rPr>
        <w:t>Attention: Investor Relations</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1114 Avenue of the Americas</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39th Floor</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629856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The information found on, or accessible through, our website is not incorporated into, and does not form a part of, this proxy statement or any other report or document we file with or furnish to the SEC. We urge you to authorize a proxy to vote your shares</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either by mail, by telephone, or online</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at your earliest convenience, even if you plan to attend the annual meeting in person.</w:t>
      </w:r>
    </w:p>
    <w:p>
      <w:pPr>
        <w:spacing w:after="0" w:line="110" w:lineRule="exact"/>
        <w:rPr>
          <w:sz w:val="20"/>
          <w:szCs w:val="20"/>
          <w:color w:val="auto"/>
        </w:rPr>
      </w:pPr>
    </w:p>
    <w:p>
      <w:pPr>
        <w:spacing w:after="0"/>
        <w:rPr>
          <w:sz w:val="20"/>
          <w:szCs w:val="20"/>
          <w:color w:val="auto"/>
        </w:rPr>
      </w:pPr>
      <w:r>
        <w:rPr>
          <w:sz w:val="1"/>
          <w:szCs w:val="1"/>
          <w:color w:val="auto"/>
        </w:rPr>
        <w:drawing>
          <wp:inline distT="0" distB="0" distL="0" distR="0">
            <wp:extent cx="173355" cy="12636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3355" cy="12636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Who is entitled to vote at the meeting?</w:t>
      </w:r>
    </w:p>
    <w:p>
      <w:pPr>
        <w:spacing w:after="0" w:line="1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Only holders of record of our common stock at the close of business on March 27, 2026, are entitled to receive notice of and to vote at the annual meeting or at any postponement or adjournment of the meeting. On the record date, there were 12,081,333 shares of common stock outstanding and entitled to vote.</w:t>
      </w:r>
    </w:p>
    <w:p>
      <w:pPr>
        <w:spacing w:after="0" w:line="124" w:lineRule="exact"/>
        <w:rPr>
          <w:sz w:val="20"/>
          <w:szCs w:val="20"/>
          <w:color w:val="auto"/>
        </w:rPr>
      </w:pPr>
    </w:p>
    <w:p>
      <w:pPr>
        <w:spacing w:after="0"/>
        <w:rPr>
          <w:sz w:val="20"/>
          <w:szCs w:val="20"/>
          <w:color w:val="auto"/>
        </w:rPr>
      </w:pPr>
      <w:r>
        <w:rPr>
          <w:sz w:val="1"/>
          <w:szCs w:val="1"/>
          <w:color w:val="auto"/>
        </w:rPr>
        <w:drawing>
          <wp:inline distT="0" distB="0" distL="0" distR="0">
            <wp:extent cx="173355" cy="12636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3355" cy="12636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What constitutes a quorum?</w:t>
      </w:r>
    </w:p>
    <w:p>
      <w:pPr>
        <w:spacing w:after="0" w:line="1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In order to have a quorum at the 2026 Annual Meeting, we need the presence, either in person or by proxy, of the holders of enough outstanding common stock to cast a majority of the votes entitled to be cast at the meeting. Proxies received but with items marked as withhold or as abstentions and proxies containing broker non-votes will be included in the calculation of the number of votes considered to be present for the purpose of determining the presence of a quorum.</w:t>
      </w:r>
    </w:p>
    <w:p>
      <w:pPr>
        <w:spacing w:after="0" w:line="115" w:lineRule="exact"/>
        <w:rPr>
          <w:sz w:val="20"/>
          <w:szCs w:val="20"/>
          <w:color w:val="auto"/>
        </w:rPr>
      </w:pPr>
    </w:p>
    <w:p>
      <w:pPr>
        <w:spacing w:after="0"/>
        <w:rPr>
          <w:sz w:val="20"/>
          <w:szCs w:val="20"/>
          <w:color w:val="auto"/>
        </w:rPr>
      </w:pPr>
      <w:r>
        <w:rPr>
          <w:sz w:val="1"/>
          <w:szCs w:val="1"/>
          <w:color w:val="auto"/>
        </w:rPr>
        <w:drawing>
          <wp:inline distT="0" distB="0" distL="0" distR="0">
            <wp:extent cx="173355" cy="13398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3355" cy="13398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What are the voting rights of shareholders?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shareholder is entitled to one vote for each share of common stock owned on the record date.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26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6820" cy="1587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840"/>
          </w:cols>
          <w:pgMar w:left="980" w:top="359" w:right="10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8AAAC"/>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sz w:val="1"/>
          <w:szCs w:val="1"/>
          <w:color w:val="auto"/>
        </w:rPr>
        <w:drawing>
          <wp:inline distT="0" distB="0" distL="0" distR="0">
            <wp:extent cx="173355" cy="13398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3355" cy="13398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What vote is needed to approve each proposal?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Assuming a quorum is present in person or by proxy at the 2026 Annual Meeting, the proposals require the following votes: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Proposal</w:t>
            </w:r>
          </w:p>
        </w:tc>
        <w:tc>
          <w:tcPr>
            <w:tcW w:w="3780" w:type="dxa"/>
            <w:vAlign w:val="bottom"/>
            <w:vMerge w:val="restart"/>
          </w:tcPr>
          <w:p>
            <w:pPr>
              <w:ind w:left="1620"/>
              <w:spacing w:after="0"/>
              <w:rPr>
                <w:sz w:val="20"/>
                <w:szCs w:val="20"/>
                <w:color w:val="auto"/>
              </w:rPr>
            </w:pPr>
            <w:r>
              <w:rPr>
                <w:rFonts w:ascii="Times New Roman" w:cs="Times New Roman" w:eastAsia="Times New Roman" w:hAnsi="Times New Roman"/>
                <w:sz w:val="13"/>
                <w:szCs w:val="13"/>
                <w:color w:val="auto"/>
              </w:rPr>
              <w:t>Votes Needed to Pass</w:t>
            </w:r>
          </w:p>
        </w:tc>
        <w:tc>
          <w:tcPr>
            <w:tcW w:w="3300" w:type="dxa"/>
            <w:vAlign w:val="bottom"/>
          </w:tcPr>
          <w:p>
            <w:pPr>
              <w:ind w:left="1060"/>
              <w:spacing w:after="0"/>
              <w:rPr>
                <w:sz w:val="20"/>
                <w:szCs w:val="20"/>
                <w:color w:val="auto"/>
              </w:rPr>
            </w:pPr>
            <w:r>
              <w:rPr>
                <w:rFonts w:ascii="Times New Roman" w:cs="Times New Roman" w:eastAsia="Times New Roman" w:hAnsi="Times New Roman"/>
                <w:sz w:val="13"/>
                <w:szCs w:val="13"/>
                <w:color w:val="auto"/>
                <w:w w:val="99"/>
              </w:rPr>
              <w:t>Effect of Withhold Votes, Abstentions and</w:t>
            </w:r>
          </w:p>
        </w:tc>
        <w:tc>
          <w:tcPr>
            <w:tcW w:w="0" w:type="dxa"/>
            <w:vAlign w:val="bottom"/>
          </w:tcPr>
          <w:p>
            <w:pPr>
              <w:spacing w:after="0"/>
              <w:rPr>
                <w:sz w:val="1"/>
                <w:szCs w:val="1"/>
                <w:color w:val="auto"/>
              </w:rPr>
            </w:pPr>
          </w:p>
        </w:tc>
      </w:tr>
      <w:tr>
        <w:trPr>
          <w:trHeight w:val="172"/>
        </w:trPr>
        <w:tc>
          <w:tcPr>
            <w:tcW w:w="2060" w:type="dxa"/>
            <w:vAlign w:val="bottom"/>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33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wp:posOffset>
            </wp:positionV>
            <wp:extent cx="629856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p>
      <w:pPr>
        <w:spacing w:after="0"/>
        <w:tabs>
          <w:tab w:leader="none" w:pos="440" w:val="left"/>
          <w:tab w:leader="none" w:pos="3660" w:val="left"/>
        </w:tabs>
        <w:rPr>
          <w:sz w:val="20"/>
          <w:szCs w:val="20"/>
          <w:color w:val="auto"/>
        </w:rPr>
      </w:pPr>
      <w:r>
        <w:rPr>
          <w:rFonts w:ascii="Times New Roman" w:cs="Times New Roman" w:eastAsia="Times New Roman" w:hAnsi="Times New Roman"/>
          <w:sz w:val="25"/>
          <w:szCs w:val="25"/>
          <w:color w:val="1D4E8F"/>
          <w:vertAlign w:val="subscript"/>
        </w:rPr>
        <w:t>1</w:t>
      </w:r>
      <w:r>
        <w:rPr>
          <w:sz w:val="20"/>
          <w:szCs w:val="20"/>
          <w:color w:val="auto"/>
        </w:rPr>
        <w:tab/>
      </w:r>
      <w:r>
        <w:rPr>
          <w:rFonts w:ascii="Times New Roman" w:cs="Times New Roman" w:eastAsia="Times New Roman" w:hAnsi="Times New Roman"/>
          <w:sz w:val="13"/>
          <w:szCs w:val="13"/>
          <w:color w:val="auto"/>
        </w:rPr>
        <w:t>Election of three trustees</w:t>
      </w:r>
      <w:r>
        <w:rPr>
          <w:sz w:val="20"/>
          <w:szCs w:val="20"/>
          <w:color w:val="auto"/>
        </w:rPr>
        <w:tab/>
      </w:r>
      <w:r>
        <w:rPr>
          <w:rFonts w:ascii="Times New Roman" w:cs="Times New Roman" w:eastAsia="Times New Roman" w:hAnsi="Times New Roman"/>
          <w:sz w:val="16"/>
          <w:szCs w:val="16"/>
          <w:color w:val="auto"/>
        </w:rPr>
        <w:t>A plurality of the votes cast by the holders of</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our common stock shall elect the trustees</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(i.e., the three trustee nominees who receive</w:t>
      </w:r>
    </w:p>
    <w:p>
      <w:pPr>
        <w:spacing w:after="0" w:line="1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the highest number of “for” votes will be</w:t>
      </w:r>
    </w:p>
    <w:p>
      <w:pPr>
        <w:spacing w:after="0" w:line="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elected)</w:t>
      </w:r>
    </w:p>
    <w:p>
      <w:pPr>
        <w:spacing w:after="0" w:line="20" w:lineRule="exact"/>
        <w:rPr>
          <w:sz w:val="20"/>
          <w:szCs w:val="20"/>
          <w:color w:val="auto"/>
        </w:rPr>
      </w:pPr>
      <w:r>
        <w:rPr>
          <w:sz w:val="20"/>
          <w:szCs w:val="20"/>
          <w:color w:val="auto"/>
        </w:rPr>
        <w:br w:type="column"/>
      </w:r>
    </w:p>
    <w:p>
      <w:pPr>
        <w:ind w:right="120"/>
        <w:spacing w:after="0" w:line="252" w:lineRule="auto"/>
        <w:rPr>
          <w:sz w:val="20"/>
          <w:szCs w:val="20"/>
          <w:color w:val="auto"/>
        </w:rPr>
      </w:pPr>
      <w:r>
        <w:rPr>
          <w:rFonts w:ascii="Times New Roman" w:cs="Times New Roman" w:eastAsia="Times New Roman" w:hAnsi="Times New Roman"/>
          <w:sz w:val="17"/>
          <w:szCs w:val="17"/>
          <w:color w:val="auto"/>
        </w:rPr>
        <w:t>Withhold votes will be counted toward a quorum, but because each of our trustees is running unopposed, they will have no effect on the vote results.</w:t>
      </w:r>
    </w:p>
    <w:p>
      <w:pPr>
        <w:spacing w:after="0" w:line="99"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7"/>
          <w:szCs w:val="17"/>
          <w:color w:val="auto"/>
        </w:rPr>
        <w:t>Broker non-votes will be counted toward a quorum but have no effect on the vote results.</w:t>
      </w:r>
    </w:p>
    <w:p>
      <w:pPr>
        <w:spacing w:after="0" w:line="157" w:lineRule="exact"/>
        <w:rPr>
          <w:sz w:val="20"/>
          <w:szCs w:val="20"/>
          <w:color w:val="auto"/>
        </w:rPr>
      </w:pPr>
    </w:p>
    <w:p>
      <w:pPr>
        <w:sectPr>
          <w:pgSz w:w="11900" w:h="16838" w:orient="portrait"/>
          <w:cols w:equalWidth="0" w:num="2">
            <w:col w:w="6660" w:space="240"/>
            <w:col w:w="3020"/>
          </w:cols>
          <w:pgMar w:left="980" w:top="359" w:right="999" w:bottom="1440" w:gutter="0" w:footer="0" w:header="0"/>
          <w:type w:val="continuous"/>
        </w:sectPr>
      </w:pPr>
    </w:p>
    <w:p>
      <w:pPr>
        <w:ind w:left="460" w:hanging="456"/>
        <w:spacing w:after="0" w:line="182" w:lineRule="auto"/>
        <w:tabs>
          <w:tab w:leader="none" w:pos="460" w:val="left"/>
        </w:tabs>
        <w:numPr>
          <w:ilvl w:val="0"/>
          <w:numId w:val="18"/>
        </w:numPr>
        <w:rPr>
          <w:rFonts w:ascii="Times New Roman" w:cs="Times New Roman" w:eastAsia="Times New Roman" w:hAnsi="Times New Roman"/>
          <w:sz w:val="40"/>
          <w:szCs w:val="40"/>
          <w:color w:val="1D4E8F"/>
          <w:vertAlign w:val="subscript"/>
        </w:rPr>
      </w:pPr>
      <w:r>
        <w:rPr>
          <w:rFonts w:ascii="Times New Roman" w:cs="Times New Roman" w:eastAsia="Times New Roman" w:hAnsi="Times New Roman"/>
          <w:sz w:val="15"/>
          <w:szCs w:val="15"/>
          <w:color w:val="auto"/>
        </w:rPr>
        <w:t>Ratification of the appointment of Deloitte &amp; Touche LLP as our independent registered public accounting firm</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7"/>
          <w:szCs w:val="17"/>
          <w:color w:val="auto"/>
        </w:rPr>
        <w:t>The affirmative vote of a majority of the votes cast by the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86995</wp:posOffset>
            </wp:positionV>
            <wp:extent cx="629856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8565" cy="762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-401955</wp:posOffset>
            </wp:positionV>
            <wp:extent cx="629856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auto"/>
        <w:rPr>
          <w:sz w:val="20"/>
          <w:szCs w:val="20"/>
          <w:color w:val="auto"/>
        </w:rPr>
      </w:pPr>
      <w:r>
        <w:rPr>
          <w:rFonts w:ascii="Times New Roman" w:cs="Times New Roman" w:eastAsia="Times New Roman" w:hAnsi="Times New Roman"/>
          <w:sz w:val="16"/>
          <w:szCs w:val="16"/>
          <w:color w:val="auto"/>
        </w:rPr>
        <w:t>Abstentions will be counted toward a quorum but will have no effect on the vote results. There should not be any broker non-votes.</w:t>
      </w:r>
    </w:p>
    <w:p>
      <w:pPr>
        <w:spacing w:after="0" w:line="200" w:lineRule="exact"/>
        <w:rPr>
          <w:sz w:val="20"/>
          <w:szCs w:val="20"/>
          <w:color w:val="auto"/>
        </w:rPr>
      </w:pPr>
    </w:p>
    <w:p>
      <w:pPr>
        <w:sectPr>
          <w:pgSz w:w="11900" w:h="16838" w:orient="portrait"/>
          <w:cols w:equalWidth="0" w:num="3">
            <w:col w:w="3460" w:space="220"/>
            <w:col w:w="2680" w:space="540"/>
            <w:col w:w="3020"/>
          </w:cols>
          <w:pgMar w:left="980" w:top="359" w:right="999" w:bottom="1440" w:gutter="0" w:footer="0" w:header="0"/>
          <w:type w:val="continuous"/>
        </w:sectPr>
      </w:pPr>
    </w:p>
    <w:p>
      <w:pPr>
        <w:spacing w:after="0" w:line="11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For the approval of any other matters properly presented at the meeting for shareholder approval, the affirmative vote of a majority of the votes cast by the holders of our common stock is required.</w:t>
      </w:r>
    </w:p>
    <w:p>
      <w:pPr>
        <w:spacing w:after="0" w:line="102" w:lineRule="exact"/>
        <w:rPr>
          <w:sz w:val="20"/>
          <w:szCs w:val="20"/>
          <w:color w:val="auto"/>
        </w:rPr>
      </w:pPr>
    </w:p>
    <w:p>
      <w:pPr>
        <w:spacing w:after="0"/>
        <w:rPr>
          <w:sz w:val="20"/>
          <w:szCs w:val="20"/>
          <w:color w:val="auto"/>
        </w:rPr>
      </w:pPr>
      <w:r>
        <w:rPr>
          <w:sz w:val="1"/>
          <w:szCs w:val="1"/>
          <w:color w:val="auto"/>
        </w:rPr>
        <w:drawing>
          <wp:inline distT="0" distB="0" distL="0" distR="0">
            <wp:extent cx="173355" cy="13398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3355" cy="13398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How can I attend the Annual Meeting?</w:t>
      </w:r>
    </w:p>
    <w:p>
      <w:pPr>
        <w:spacing w:after="0" w:line="11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 xml:space="preserve">The 2026 Annual Meeting will be a completely virtual meeting of shareholders, which will be conducted exclusively by webcast. You are entitled to participate in the 2026 Annual Meeting only if you were a shareholder of the Company as of the close of business on the record date, March 27, 2026, or if you hold a valid proxy for the annual meeting. No physical meeting will be held. You will be able to attend the annual meeting online and submit your questions during the meeting by visiting </w:t>
      </w:r>
      <w:r>
        <w:rPr>
          <w:rFonts w:ascii="Times New Roman" w:cs="Times New Roman" w:eastAsia="Times New Roman" w:hAnsi="Times New Roman"/>
          <w:sz w:val="17"/>
          <w:szCs w:val="17"/>
          <w:color w:val="211D1E"/>
        </w:rPr>
        <w:t>meetnow.global/M6JSJLU</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You also will be able to vote your shares online by attending the 2026 Annual Meeting by webcast.</w:t>
      </w:r>
    </w:p>
    <w:p>
      <w:pPr>
        <w:spacing w:after="0" w:line="113" w:lineRule="exact"/>
        <w:rPr>
          <w:sz w:val="20"/>
          <w:szCs w:val="20"/>
          <w:color w:val="auto"/>
        </w:rPr>
      </w:pPr>
    </w:p>
    <w:p>
      <w:pPr>
        <w:ind w:right="760"/>
        <w:spacing w:after="0" w:line="268" w:lineRule="auto"/>
        <w:rPr>
          <w:sz w:val="20"/>
          <w:szCs w:val="20"/>
          <w:color w:val="auto"/>
        </w:rPr>
      </w:pPr>
      <w:r>
        <w:rPr>
          <w:rFonts w:ascii="Times New Roman" w:cs="Times New Roman" w:eastAsia="Times New Roman" w:hAnsi="Times New Roman"/>
          <w:sz w:val="17"/>
          <w:szCs w:val="17"/>
          <w:color w:val="auto"/>
        </w:rPr>
        <w:t>To participate in the 2026 Annual Meeting, you will need to review the information included on your Notice, on your proxy card or on the instructions that accompanied your proxy materials.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hold your shares through an intermediary, such as a bank or broker, you must register in advance using the instructions below.</w:t>
      </w:r>
    </w:p>
    <w:p>
      <w:pPr>
        <w:spacing w:after="0" w:line="12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7"/>
          <w:szCs w:val="17"/>
          <w:color w:val="auto"/>
        </w:rPr>
        <w:t>The online meeting will begin promptly at 9:00 a.m., Eastern Time. We encourage you to access the meeting prior to the start time leaving ample time for the check in. Please follow the registration instructions as outlined in this proxy statement.</w:t>
      </w:r>
    </w:p>
    <w:p>
      <w:pPr>
        <w:spacing w:after="0" w:line="114" w:lineRule="exact"/>
        <w:rPr>
          <w:sz w:val="20"/>
          <w:szCs w:val="20"/>
          <w:color w:val="auto"/>
        </w:rPr>
      </w:pPr>
    </w:p>
    <w:p>
      <w:pPr>
        <w:spacing w:after="0"/>
        <w:rPr>
          <w:sz w:val="20"/>
          <w:szCs w:val="20"/>
          <w:color w:val="auto"/>
        </w:rPr>
      </w:pPr>
      <w:r>
        <w:rPr>
          <w:sz w:val="1"/>
          <w:szCs w:val="1"/>
          <w:color w:val="auto"/>
        </w:rPr>
        <w:drawing>
          <wp:inline distT="0" distB="0" distL="0" distR="0">
            <wp:extent cx="173355" cy="12636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3355" cy="12636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How do I register to attend the Annual Meeting virtually on the Internet?</w:t>
      </w:r>
    </w:p>
    <w:p>
      <w:pPr>
        <w:spacing w:after="0" w:line="1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color w:val="auto"/>
        </w:rPr>
        <w:t>If you are a registered shareholder (i.e., you hold your shares through our transfer agent, Computershare), you do not need to register to attend the 2026 Annual Meeting virtually on the Internet. Please follow the instructions on the Notice of 2026 Annual Meeting of Shareholders or proxy card that you received. If you hold your shares through an intermediary, such as a bank or broker, you must register in advance to attend the 2026 Annual Meeting virtually on the Internet.</w:t>
      </w:r>
    </w:p>
    <w:p>
      <w:pPr>
        <w:spacing w:after="0" w:line="111"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7"/>
          <w:szCs w:val="17"/>
          <w:color w:val="auto"/>
        </w:rPr>
        <w:t>To register to attend the 2026 Annual Meeting online by webcast you must submit proof of your proxy power (legal proxy) reflecting your Star Holdings holdings along with your name and email address to Computershare. Requests for registration should be directed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29856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Computershare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-113030</wp:posOffset>
            </wp:positionV>
            <wp:extent cx="220980" cy="228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0980" cy="22860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7"/>
          <w:szCs w:val="17"/>
          <w:color w:val="auto"/>
        </w:rPr>
        <w:t>Star Holdings Legal Proxy</w:t>
      </w:r>
    </w:p>
    <w:p>
      <w:pPr>
        <w:spacing w:after="0" w:line="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P.O. Box 43001</w:t>
      </w:r>
    </w:p>
    <w:p>
      <w:pPr>
        <w:spacing w:after="0" w:line="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Providence, RI 02940-3001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629856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Requests for registration must be labeled as “Legal Proxy” and be received no later than 5:00 p.m., Eastern Time, on May 16,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will receive a confirmation of your registration by email after we receive your registration materials.</w:t>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Star Holdings 2026 Proxy Statement | </w:t>
      </w:r>
      <w:r>
        <w:rPr>
          <w:rFonts w:ascii="Times New Roman" w:cs="Times New Roman" w:eastAsia="Times New Roman" w:hAnsi="Times New Roman"/>
          <w:sz w:val="17"/>
          <w:szCs w:val="17"/>
          <w:b w:val="1"/>
          <w:bCs w:val="1"/>
          <w:color w:val="1D4E8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6306820"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-110490</wp:posOffset>
            </wp:positionV>
            <wp:extent cx="607695" cy="1104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695" cy="11049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sz w:val="1"/>
          <w:szCs w:val="1"/>
          <w:color w:val="auto"/>
        </w:rPr>
        <w:drawing>
          <wp:inline distT="0" distB="0" distL="0" distR="0">
            <wp:extent cx="173355" cy="13398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3355" cy="13398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Why are you holding a virtual meeting instead of a physical meeting?</w:t>
      </w:r>
    </w:p>
    <w:p>
      <w:pPr>
        <w:spacing w:after="0" w:line="114" w:lineRule="exact"/>
        <w:rPr>
          <w:sz w:val="20"/>
          <w:szCs w:val="20"/>
          <w:color w:val="auto"/>
        </w:rPr>
      </w:pPr>
    </w:p>
    <w:p>
      <w:pPr>
        <w:ind w:right="780"/>
        <w:spacing w:after="0" w:line="268" w:lineRule="auto"/>
        <w:rPr>
          <w:sz w:val="20"/>
          <w:szCs w:val="20"/>
          <w:color w:val="auto"/>
        </w:rPr>
      </w:pPr>
      <w:r>
        <w:rPr>
          <w:rFonts w:ascii="Times New Roman" w:cs="Times New Roman" w:eastAsia="Times New Roman" w:hAnsi="Times New Roman"/>
          <w:sz w:val="17"/>
          <w:szCs w:val="17"/>
          <w:color w:val="auto"/>
        </w:rPr>
        <w:t>We believe that hosting a virtual meeting will provide the opportunity for more of our shareholders to participate in the meeting since our shareholders can participate from any location with Internet access.</w:t>
      </w:r>
    </w:p>
    <w:p>
      <w:pPr>
        <w:spacing w:after="0" w:line="98"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6"/>
          <w:szCs w:val="16"/>
          <w:color w:val="auto"/>
        </w:rPr>
        <w:t>The 2026 Annual Meeting will begin with an introduction by the meeting host, followed by a webcast of the formal business of the meeting and a Q&amp;A session. During the live, online Q&amp;A session, shareholders at the close of business on the record date will have an opportunity to ask questions. You may submit questions in real time before or during the Q&amp;A session. If you encounter difficulties accessing or participating in the virtual meeting or Q&amp;A session, please contact the technical support number that will be posted on the annual meeting website log-in page.</w:t>
      </w:r>
    </w:p>
    <w:p>
      <w:pPr>
        <w:spacing w:after="0" w:line="99" w:lineRule="exact"/>
        <w:rPr>
          <w:sz w:val="20"/>
          <w:szCs w:val="20"/>
          <w:color w:val="auto"/>
        </w:rPr>
      </w:pPr>
    </w:p>
    <w:p>
      <w:pPr>
        <w:spacing w:after="0"/>
        <w:rPr>
          <w:sz w:val="20"/>
          <w:szCs w:val="20"/>
          <w:color w:val="auto"/>
        </w:rPr>
      </w:pPr>
      <w:r>
        <w:rPr>
          <w:sz w:val="1"/>
          <w:szCs w:val="1"/>
          <w:color w:val="auto"/>
        </w:rPr>
        <w:drawing>
          <wp:inline distT="0" distB="0" distL="0" distR="0">
            <wp:extent cx="173355" cy="13398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3355" cy="13398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What are broker non-votes?</w:t>
      </w:r>
    </w:p>
    <w:p>
      <w:pPr>
        <w:spacing w:after="0" w:line="1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A “broker non-vote” occurs when a broker, bank, or other nominee does not have discretionary authority as to certain shares to vote on a particular matter, and has not received voting instructions on that matter from the beneficial owner of those shares. Under current Nasdaq rules, a broker, bank, or other nominee does not have discretionary authority to vote shares without specific voting instructions from the beneficial owner in an election of trustees, (Proposal 1). Brokers, banks, and other nominees do have discretionary authority to vote shares without specific voting instructions on the ratification of the appointment of an independent registered public accounting firm (Proposal 2).</w:t>
      </w:r>
    </w:p>
    <w:p>
      <w:pPr>
        <w:spacing w:after="0" w:line="129" w:lineRule="exact"/>
        <w:rPr>
          <w:sz w:val="20"/>
          <w:szCs w:val="20"/>
          <w:color w:val="auto"/>
        </w:rPr>
      </w:pPr>
    </w:p>
    <w:p>
      <w:pPr>
        <w:spacing w:after="0"/>
        <w:rPr>
          <w:sz w:val="20"/>
          <w:szCs w:val="20"/>
          <w:color w:val="auto"/>
        </w:rPr>
      </w:pPr>
      <w:r>
        <w:rPr>
          <w:sz w:val="1"/>
          <w:szCs w:val="1"/>
          <w:color w:val="auto"/>
        </w:rPr>
        <w:drawing>
          <wp:inline distT="0" distB="0" distL="0" distR="0">
            <wp:extent cx="173355" cy="12636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3355" cy="12636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How is my vote counted?</w:t>
      </w:r>
    </w:p>
    <w:p>
      <w:pPr>
        <w:spacing w:after="0" w:line="1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If you properly authorize your proxy to cast your vote prior to the 2026 Annual Meeting, the shares that the proxy represents will be voted in the manner you direct. If your proxy does not specify a choice regarding one or more proposals, your shares will be voted FOR the election of trustees, FOR the ratification of the appointment of the independent registered public accounting firm.</w:t>
      </w:r>
    </w:p>
    <w:p>
      <w:pPr>
        <w:spacing w:after="0" w:line="10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color w:val="auto"/>
        </w:rPr>
        <w:t>Votes cast in person or by proxy at the 2026 Annual Meeting will be tabulated by the election inspector appointed for the meeting, who also will determine whether a quorum is present. If your shares are held by a broker, bank, or other nominee (i.e., in “street name”), you will receive instructions from your nominee that you must follow in order to have your shares voted. Street name shareholders who wish to vote in person at the meeting will need to obtain a proxy from the broker, bank, or other nominee that holds their shares of record.</w:t>
      </w:r>
    </w:p>
    <w:p>
      <w:pPr>
        <w:spacing w:after="0" w:line="115" w:lineRule="exact"/>
        <w:rPr>
          <w:sz w:val="20"/>
          <w:szCs w:val="20"/>
          <w:color w:val="auto"/>
        </w:rPr>
      </w:pPr>
    </w:p>
    <w:p>
      <w:pPr>
        <w:spacing w:after="0"/>
        <w:rPr>
          <w:sz w:val="20"/>
          <w:szCs w:val="20"/>
          <w:color w:val="auto"/>
        </w:rPr>
      </w:pPr>
      <w:r>
        <w:rPr>
          <w:sz w:val="1"/>
          <w:szCs w:val="1"/>
          <w:color w:val="auto"/>
        </w:rPr>
        <w:drawing>
          <wp:inline distT="0" distB="0" distL="0" distR="0">
            <wp:extent cx="173355" cy="13398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3355" cy="13398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Can I change my vote after I submit my proxy card or vote electronically?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authorize a proxy to vote your shares, you may revoke it at any time before it is exercised by:</w:t>
      </w:r>
    </w:p>
    <w:p>
      <w:pPr>
        <w:spacing w:after="0" w:line="140" w:lineRule="exact"/>
        <w:rPr>
          <w:sz w:val="20"/>
          <w:szCs w:val="20"/>
          <w:color w:val="auto"/>
        </w:rPr>
      </w:pPr>
    </w:p>
    <w:p>
      <w:pPr>
        <w:ind w:left="800" w:hanging="401"/>
        <w:spacing w:after="0"/>
        <w:tabs>
          <w:tab w:leader="none" w:pos="800" w:val="left"/>
        </w:tabs>
        <w:numPr>
          <w:ilvl w:val="0"/>
          <w:numId w:val="1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submitting voting instructions at a later time via the Internet or by telephone before those voting facilities close;</w:t>
      </w:r>
    </w:p>
    <w:p>
      <w:pPr>
        <w:spacing w:after="0" w:line="140" w:lineRule="exact"/>
        <w:rPr>
          <w:rFonts w:ascii="MS PGothic" w:cs="MS PGothic" w:eastAsia="MS PGothic" w:hAnsi="MS PGothic"/>
          <w:sz w:val="17"/>
          <w:szCs w:val="17"/>
          <w:color w:val="auto"/>
        </w:rPr>
      </w:pPr>
    </w:p>
    <w:p>
      <w:pPr>
        <w:ind w:left="800" w:hanging="401"/>
        <w:spacing w:after="0"/>
        <w:tabs>
          <w:tab w:leader="none" w:pos="800" w:val="left"/>
        </w:tabs>
        <w:numPr>
          <w:ilvl w:val="0"/>
          <w:numId w:val="1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giving written notice bearing a date later than the date of the proxy to our Corporate Secretary expressly revoking the proxy;</w:t>
      </w:r>
    </w:p>
    <w:p>
      <w:pPr>
        <w:spacing w:after="0" w:line="140" w:lineRule="exact"/>
        <w:rPr>
          <w:rFonts w:ascii="MS PGothic" w:cs="MS PGothic" w:eastAsia="MS PGothic" w:hAnsi="MS PGothic"/>
          <w:sz w:val="17"/>
          <w:szCs w:val="17"/>
          <w:color w:val="auto"/>
        </w:rPr>
      </w:pPr>
    </w:p>
    <w:p>
      <w:pPr>
        <w:ind w:left="800" w:hanging="401"/>
        <w:spacing w:after="0"/>
        <w:tabs>
          <w:tab w:leader="none" w:pos="800" w:val="left"/>
        </w:tabs>
        <w:numPr>
          <w:ilvl w:val="0"/>
          <w:numId w:val="1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signing and forwarding to us a proxy dated later; or</w:t>
      </w:r>
    </w:p>
    <w:p>
      <w:pPr>
        <w:spacing w:after="0" w:line="140" w:lineRule="exact"/>
        <w:rPr>
          <w:rFonts w:ascii="MS PGothic" w:cs="MS PGothic" w:eastAsia="MS PGothic" w:hAnsi="MS PGothic"/>
          <w:sz w:val="17"/>
          <w:szCs w:val="17"/>
          <w:color w:val="auto"/>
        </w:rPr>
      </w:pPr>
    </w:p>
    <w:p>
      <w:pPr>
        <w:ind w:left="800" w:right="60" w:hanging="401"/>
        <w:spacing w:after="0" w:line="268" w:lineRule="auto"/>
        <w:tabs>
          <w:tab w:leader="none" w:pos="800" w:val="left"/>
        </w:tabs>
        <w:numPr>
          <w:ilvl w:val="0"/>
          <w:numId w:val="1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attending the annual meeting and personally voting the common stock that you own of record. Merely attending the annual meeting will not revoke a proxy.</w:t>
      </w:r>
    </w:p>
    <w:p>
      <w:pPr>
        <w:spacing w:after="0" w:line="114" w:lineRule="exact"/>
        <w:rPr>
          <w:sz w:val="20"/>
          <w:szCs w:val="20"/>
          <w:color w:val="auto"/>
        </w:rPr>
      </w:pPr>
    </w:p>
    <w:p>
      <w:pPr>
        <w:spacing w:after="0"/>
        <w:rPr>
          <w:sz w:val="20"/>
          <w:szCs w:val="20"/>
          <w:color w:val="auto"/>
        </w:rPr>
      </w:pPr>
      <w:r>
        <w:rPr>
          <w:sz w:val="1"/>
          <w:szCs w:val="1"/>
          <w:color w:val="auto"/>
        </w:rPr>
        <w:drawing>
          <wp:inline distT="0" distB="0" distL="0" distR="0">
            <wp:extent cx="173355" cy="12636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3355" cy="12636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Who pays the costs of solicitation?</w:t>
      </w:r>
    </w:p>
    <w:p>
      <w:pPr>
        <w:spacing w:after="0" w:line="12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 xml:space="preserve">We will pay the costs of soliciting proxies from our shareholders. In addition to solicitation by mail, certain of our trustees, officers, and employees may solicit the return of proxies by telephone, fax, personal interview, or otherwise without being paid additional compensation. We will reimburse brokerage firms and other persons representing the beneficial owners of our shares for their reasonable expenses in forwarding proxy solicitation materials to the beneficial owners in accordance with the proxy solicitation rules and regulations of the SEC and the Nasdaq. We have engaged </w:t>
      </w:r>
      <w:r>
        <w:rPr>
          <w:rFonts w:ascii="Times New Roman" w:cs="Times New Roman" w:eastAsia="Times New Roman" w:hAnsi="Times New Roman"/>
          <w:sz w:val="17"/>
          <w:szCs w:val="17"/>
          <w:color w:val="000015"/>
        </w:rPr>
        <w:t xml:space="preserve">Laurel Hill Advisory Group </w:t>
      </w:r>
      <w:r>
        <w:rPr>
          <w:rFonts w:ascii="Times New Roman" w:cs="Times New Roman" w:eastAsia="Times New Roman" w:hAnsi="Times New Roman"/>
          <w:sz w:val="17"/>
          <w:szCs w:val="17"/>
          <w:color w:val="000000"/>
        </w:rPr>
        <w:t>to solicit proxies on our behalf in connection with our 2026 Annual Meeting and to provide other advisory services for a</w:t>
      </w:r>
      <w:r>
        <w:rPr>
          <w:rFonts w:ascii="Times New Roman" w:cs="Times New Roman" w:eastAsia="Times New Roman" w:hAnsi="Times New Roman"/>
          <w:sz w:val="17"/>
          <w:szCs w:val="17"/>
          <w:color w:val="000015"/>
        </w:rPr>
        <w:t xml:space="preserve"> </w:t>
      </w:r>
      <w:r>
        <w:rPr>
          <w:rFonts w:ascii="Times New Roman" w:cs="Times New Roman" w:eastAsia="Times New Roman" w:hAnsi="Times New Roman"/>
          <w:sz w:val="17"/>
          <w:szCs w:val="17"/>
          <w:color w:val="000000"/>
        </w:rPr>
        <w:t>fee of $12,500 plus expenses.</w:t>
      </w:r>
    </w:p>
    <w:p>
      <w:pPr>
        <w:spacing w:after="0" w:line="129" w:lineRule="exact"/>
        <w:rPr>
          <w:sz w:val="20"/>
          <w:szCs w:val="20"/>
          <w:color w:val="auto"/>
        </w:rPr>
      </w:pPr>
    </w:p>
    <w:p>
      <w:pPr>
        <w:spacing w:after="0"/>
        <w:rPr>
          <w:sz w:val="20"/>
          <w:szCs w:val="20"/>
          <w:color w:val="auto"/>
        </w:rPr>
      </w:pPr>
      <w:r>
        <w:rPr>
          <w:sz w:val="1"/>
          <w:szCs w:val="1"/>
          <w:color w:val="auto"/>
        </w:rPr>
        <w:drawing>
          <wp:inline distT="0" distB="0" distL="0" distR="0">
            <wp:extent cx="173355" cy="12636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3355" cy="12636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When are shareholder proposals due for the 2027 annual meeting?</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accordance with Rule 14a-8 under the Securities Exchange Act of 1934, as amended, shareholder proposals intended to be presented at the annual meeting to be held in 2027 must be sent in writing, by certified mail, return receipt requested, to us at our principal office, addressed to our corporate secretary, and must be received by us no later than December 8, 2026 for inclusion in the 2027 proxy materials.</w:t>
      </w:r>
    </w:p>
    <w:p>
      <w:pPr>
        <w:spacing w:after="0" w:line="95" w:lineRule="exact"/>
        <w:rPr>
          <w:sz w:val="20"/>
          <w:szCs w:val="20"/>
          <w:color w:val="auto"/>
        </w:rPr>
      </w:pPr>
    </w:p>
    <w:p>
      <w:pPr>
        <w:ind w:right="400"/>
        <w:spacing w:after="0" w:line="300" w:lineRule="auto"/>
        <w:rPr>
          <w:sz w:val="20"/>
          <w:szCs w:val="20"/>
          <w:color w:val="auto"/>
        </w:rPr>
      </w:pPr>
      <w:r>
        <w:rPr>
          <w:rFonts w:ascii="Times New Roman" w:cs="Times New Roman" w:eastAsia="Times New Roman" w:hAnsi="Times New Roman"/>
          <w:sz w:val="16"/>
          <w:szCs w:val="16"/>
          <w:color w:val="auto"/>
        </w:rPr>
        <w:t>In order for a shareholder proposal submitted outside of Rule 14a-8 to be considered at our 2026 annual meeting, the proposal must contain the information and representations required by our bylaws and be received by us in accordance with our bylaws. Pursuant to our current bylaws,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28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6820" cy="1587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880"/>
          </w:cols>
          <w:pgMar w:left="980" w:top="359" w:right="10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8AAAC"/>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6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shareholder proposals made outside of Rule 14a-8 under the Exchange Act must be submitted not later than December 8, 2026 and not earlier than November 8, 2026. However, if the date of the 2027 annual meeting is advanced more than 30 days prior to, or delayed more than 30 days after, May 21, 2027, such proposals must be delivered between the 150th day prior to the date of the 2026 annual meeting and the later of (i) the 120th day prior to the date of the 2027 annual meeting or (ii) the tenth day following the date on which public announcement of the date of the 2027 annual meeting of shareholders is first made.</w:t>
      </w:r>
    </w:p>
    <w:p>
      <w:pPr>
        <w:spacing w:after="0" w:line="113"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In addition to satisfying the foregoing requirements under the company’s bylaws, to comply with the universal proxy rules, shareholders who intend to solicit proxies in support of trustee nominees other than the company’s nominees must provide notice that sets forth the information required by Rule 14a-19 under the Exchange Act no later than March 22, 2027 (60 days prior to the first anniversary of this year’s annual meeting).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intend to file a proxy statement and WHITE proxy card with the SEC in connection with the solicitation of proxies for our 2027 annual meeting.</w:t>
      </w:r>
    </w:p>
    <w:p>
      <w:pPr>
        <w:spacing w:after="0" w:line="155" w:lineRule="exact"/>
        <w:rPr>
          <w:sz w:val="20"/>
          <w:szCs w:val="20"/>
          <w:color w:val="auto"/>
        </w:rPr>
      </w:pPr>
    </w:p>
    <w:p>
      <w:pPr>
        <w:spacing w:after="0"/>
        <w:rPr>
          <w:sz w:val="20"/>
          <w:szCs w:val="20"/>
          <w:color w:val="auto"/>
        </w:rPr>
      </w:pPr>
      <w:r>
        <w:rPr>
          <w:sz w:val="1"/>
          <w:szCs w:val="1"/>
          <w:color w:val="auto"/>
        </w:rPr>
        <w:drawing>
          <wp:inline distT="0" distB="0" distL="0" distR="0">
            <wp:extent cx="173355" cy="12636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3355" cy="12636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What are the implications of being an Emerging Growth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an “emerging growth company” under applicable federal securities laws and therefore permitted to take advantage of certain reduced 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reporting requirements. As an emerging growth company, we provide in this proxy statement the scaled disclosure permitted under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Jumpstart Our Business Startups Act of 2012, or the JOBS Act. We also provide certain scaled back executive compensation and other disclosures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required of a “smaller reporting company,” as that term is defined in Rule 12b-2 promulgated under the Securities Exchange Act of 1934, 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amended, or the Exchange Act. In addition, as an emerging growth company, we are not required to conduct votes seeking approval, on an advisory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basis, of the compensation of our named executive officers or the frequency with which such votes must be conducted. We will remain an emerging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growth company until the earliest to occur of: (i) the last day of the fiscal year during which our total annual revenue equals or exceeds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$1.235 billion (subject to adjustment for inflation), (ii) the last day of the fiscal year following the fifth anniversary of the Spin-Off, (iii)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on which we have, during the previous three-year period, issued more than $1 billion in non-convertible debt or (iv) the date on which we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are deemed to be a “large accelerated filer” under the Exchange Act.</w:t>
      </w:r>
    </w:p>
    <w:p>
      <w:pPr>
        <w:spacing w:after="0" w:line="140" w:lineRule="exact"/>
        <w:rPr>
          <w:sz w:val="20"/>
          <w:szCs w:val="20"/>
          <w:color w:val="auto"/>
        </w:rPr>
      </w:pPr>
    </w:p>
    <w:p>
      <w:pPr>
        <w:spacing w:after="0"/>
        <w:rPr>
          <w:sz w:val="20"/>
          <w:szCs w:val="20"/>
          <w:color w:val="auto"/>
        </w:rPr>
      </w:pPr>
      <w:r>
        <w:rPr>
          <w:sz w:val="1"/>
          <w:szCs w:val="1"/>
          <w:color w:val="auto"/>
        </w:rPr>
        <w:drawing>
          <wp:inline distT="0" distB="0" distL="0" distR="0">
            <wp:extent cx="173355" cy="12636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3355" cy="12636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What is householding of proxy materials?</w:t>
      </w:r>
    </w:p>
    <w:p>
      <w:pPr>
        <w:spacing w:after="0" w:line="1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banks and brokers) to satisfy the delivery requirements for proxy statements and annual reports with respect to two or more shareholders sharing the same address by delivering a single set of proxy materials to that address. This process, which is commonly referred to as “householding,” potentially means extra convenience for shareholders (less bulk mail) and cost savings for companies.</w:t>
      </w:r>
    </w:p>
    <w:p>
      <w:pPr>
        <w:spacing w:after="0" w:line="9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A number of brokers with account holders who are our shareholders intend to “household” our proxy materials. A single proxy statement will be delivered to multiple shareholders sharing an address unless contrary instructions have been received from the affected shareholders. Once you receive notice that your broker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us by contacting our Investor Relations department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629856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1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(212) 930-9400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29856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8565" cy="7620"/>
                    </a:xfrm>
                    <a:prstGeom prst="rect">
                      <a:avLst/>
                    </a:prstGeom>
                    <a:noFill/>
                  </pic:spPr>
                </pic:pic>
              </a:graphicData>
            </a:graphic>
          </wp:anchor>
        </w:drawing>
        <w:drawing>
          <wp:anchor simplePos="0" relativeHeight="251657728" behindDoc="1" locked="0" layoutInCell="0" allowOverlap="1">
            <wp:simplePos x="0" y="0"/>
            <wp:positionH relativeFrom="column">
              <wp:posOffset>85725</wp:posOffset>
            </wp:positionH>
            <wp:positionV relativeFrom="paragraph">
              <wp:posOffset>-113030</wp:posOffset>
            </wp:positionV>
            <wp:extent cx="228600" cy="228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8600" cy="228600"/>
                    </a:xfrm>
                    <a:prstGeom prst="rect">
                      <a:avLst/>
                    </a:prstGeom>
                    <a:noFill/>
                  </pic:spPr>
                </pic:pic>
              </a:graphicData>
            </a:graphic>
          </wp:anchor>
        </w:drawing>
      </w:r>
    </w:p>
    <w:p>
      <w:pPr>
        <w:spacing w:after="0" w:line="3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Star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-113030</wp:posOffset>
            </wp:positionV>
            <wp:extent cx="228600" cy="228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600" cy="22860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7"/>
          <w:szCs w:val="17"/>
          <w:color w:val="auto"/>
        </w:rPr>
        <w:t>Attention: Investor Relations</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1114 Avenue of the Americas</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39th Floor</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62985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77" w:lineRule="exact"/>
        <w:rPr>
          <w:sz w:val="20"/>
          <w:szCs w:val="20"/>
          <w:color w:val="auto"/>
        </w:rPr>
      </w:pPr>
    </w:p>
    <w:p>
      <w:pPr>
        <w:ind w:right="760"/>
        <w:spacing w:after="0" w:line="268" w:lineRule="auto"/>
        <w:rPr>
          <w:sz w:val="20"/>
          <w:szCs w:val="20"/>
          <w:color w:val="auto"/>
        </w:rPr>
      </w:pPr>
      <w:r>
        <w:rPr>
          <w:rFonts w:ascii="Times New Roman" w:cs="Times New Roman" w:eastAsia="Times New Roman" w:hAnsi="Times New Roman"/>
          <w:sz w:val="17"/>
          <w:szCs w:val="17"/>
          <w:color w:val="auto"/>
        </w:rPr>
        <w:t>Shareholders who currently receive multiple copies of the proxy statement at their address and would like to request householding of their communications should contact us as specified above.</w:t>
      </w:r>
    </w:p>
    <w:p>
      <w:pPr>
        <w:spacing w:after="0" w:line="114" w:lineRule="exact"/>
        <w:rPr>
          <w:sz w:val="20"/>
          <w:szCs w:val="20"/>
          <w:color w:val="auto"/>
        </w:rPr>
      </w:pPr>
    </w:p>
    <w:p>
      <w:pPr>
        <w:spacing w:after="0"/>
        <w:rPr>
          <w:sz w:val="20"/>
          <w:szCs w:val="20"/>
          <w:color w:val="auto"/>
        </w:rPr>
      </w:pPr>
      <w:r>
        <w:rPr>
          <w:sz w:val="1"/>
          <w:szCs w:val="1"/>
          <w:color w:val="auto"/>
        </w:rPr>
        <w:drawing>
          <wp:inline distT="0" distB="0" distL="0" distR="0">
            <wp:extent cx="173355" cy="12636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3355" cy="126365"/>
                    </a:xfrm>
                    <a:prstGeom prst="rect">
                      <a:avLst/>
                    </a:prstGeom>
                    <a:noFill/>
                    <a:ln>
                      <a:noFill/>
                    </a:ln>
                  </pic:spPr>
                </pic:pic>
              </a:graphicData>
            </a:graphic>
          </wp:inline>
        </w:drawing>
      </w:r>
      <w:r>
        <w:rPr>
          <w:rFonts w:ascii="Times New Roman" w:cs="Times New Roman" w:eastAsia="Times New Roman" w:hAnsi="Times New Roman"/>
          <w:sz w:val="20"/>
          <w:szCs w:val="20"/>
          <w:color w:val="1D4E8F"/>
        </w:rPr>
        <w:t xml:space="preserve"> Are there any other matters coming before the 2026 Annual Meeting?</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Management does not intend to bring any other matters before the 2026 Annual Meeting and knows of no other matters that are likely to come before the meeting. In the event any other matters properly come before the 2026 Annual Meeting or any postponement of the meeting, the individuals named in the accompanying proxy will vote the shares represented by your proxy in accordance with their discretion.</w:t>
      </w:r>
    </w:p>
    <w:p>
      <w:pPr>
        <w:spacing w:after="0" w:line="35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 xml:space="preserve">Star Holdings 2026 Proxy Statement | </w:t>
      </w:r>
      <w:r>
        <w:rPr>
          <w:rFonts w:ascii="Times New Roman" w:cs="Times New Roman" w:eastAsia="Times New Roman" w:hAnsi="Times New Roman"/>
          <w:sz w:val="16"/>
          <w:szCs w:val="16"/>
          <w:b w:val="1"/>
          <w:bCs w:val="1"/>
          <w:color w:val="1D4E8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346075</wp:posOffset>
            </wp:positionV>
            <wp:extent cx="6306820" cy="23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-102870</wp:posOffset>
            </wp:positionV>
            <wp:extent cx="607695" cy="1028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920"/>
          </w:cols>
          <w:pgMar w:left="980" w:top="359"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8AAAC"/>
        </w:rPr>
        <w:t>Information about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629856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b w:val="1"/>
          <w:bCs w:val="1"/>
          <w:color w:val="auto"/>
        </w:rPr>
        <w:t>Additional Information</w:t>
      </w:r>
    </w:p>
    <w:p>
      <w:pPr>
        <w:spacing w:after="0" w:line="21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Securities and Exchange Commission allows us to “incorporate by reference” information into this proxy statement. That means we can disclose important information to you by referring you to another document filed separately with the SEC. The information incorporated by reference is considered to be part of this proxy statement, except to the extent the information is superseded by information in this proxy statement.</w:t>
      </w:r>
    </w:p>
    <w:p>
      <w:pPr>
        <w:spacing w:after="0" w:line="89"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7"/>
          <w:szCs w:val="17"/>
          <w:color w:val="auto"/>
        </w:rPr>
        <w:t>This proxy statement incorporates by reference: (a) the information contained in the Star Holdings Annual Report on Form 10-K for the year ended December 31, 2025; (b) the information contained in all other documents we file with the SEC after the date of this proxy statement and prior to the annual meeting of shareholders. The information contained in any of these documents will be considered part of this proxy statement from the date these documents are filed.</w:t>
      </w:r>
    </w:p>
    <w:p>
      <w:pPr>
        <w:spacing w:after="0" w:line="11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color w:val="auto"/>
        </w:rPr>
        <w:t>Any statement contained in this proxy statement or in a document incorporated or deemed to be incorporated by reference herein will be deemed to be modified or superseded for purposes of this proxy statement to the extent that a statement contained herein or in any other subsequently filed document which also is or is deemed to be incorporated by reference herein modifies or supersedes such statement. Any statement so modified or superseded will not be deemed, except as so modified or superseded, to constitute a part of this proxy statement.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may obtain, without charge, a copy of any of the documents incorporated by reference herein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629856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1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999999"/>
        </w:rPr>
        <w:t>by writing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-113030</wp:posOffset>
            </wp:positionV>
            <wp:extent cx="228600" cy="228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8600" cy="22860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7"/>
          <w:szCs w:val="17"/>
          <w:color w:val="auto"/>
        </w:rPr>
        <w:t>Star Holdings</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Attention: Investor Relations</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1114 Avenue of the Americas</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39th Floor</w:t>
      </w:r>
    </w:p>
    <w:p>
      <w:pPr>
        <w:spacing w:after="0" w:line="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629856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999999"/>
        </w:rPr>
        <w:t>by visiting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-113030</wp:posOffset>
            </wp:positionV>
            <wp:extent cx="228600" cy="228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8600" cy="22860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7"/>
          <w:szCs w:val="17"/>
          <w:color w:val="1D4E8F"/>
        </w:rPr>
        <w:t>www.starholdingsco.com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629856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1D4E8F"/>
        </w:rPr>
        <w:t xml:space="preserve">30 </w:t>
      </w:r>
      <w:r>
        <w:rPr>
          <w:rFonts w:ascii="Times New Roman" w:cs="Times New Roman" w:eastAsia="Times New Roman" w:hAnsi="Times New Roman"/>
          <w:sz w:val="17"/>
          <w:szCs w:val="17"/>
          <w:color w:val="000000"/>
        </w:rPr>
        <w:t>| Star Holdings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6306820" cy="234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6820" cy="2349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-110490</wp:posOffset>
            </wp:positionV>
            <wp:extent cx="607695" cy="102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7695" cy="102870"/>
                    </a:xfrm>
                    <a:prstGeom prst="rect">
                      <a:avLst/>
                    </a:prstGeom>
                    <a:noFill/>
                  </pic:spPr>
                </pic:pic>
              </a:graphicData>
            </a:graphic>
          </wp:anchor>
        </w:drawing>
      </w:r>
    </w:p>
    <w:p>
      <w:pPr>
        <w:sectPr>
          <w:pgSz w:w="11900" w:h="16838" w:orient="portrait"/>
          <w:cols w:equalWidth="0" w:num="1">
            <w:col w:w="9880"/>
          </w:cols>
          <w:pgMar w:left="980" w:top="359" w:right="10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273050</wp:posOffset>
            </wp:positionV>
            <wp:extent cx="1318260" cy="2527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18260" cy="2527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4164330</wp:posOffset>
            </wp:positionV>
            <wp:extent cx="157861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7861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Star Holdings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1114 Avenue of the Americas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39th Floor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www.starholdingsco.com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696595</wp:posOffset>
            </wp:positionV>
            <wp:extent cx="6306820" cy="2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6820" cy="23495"/>
                    </a:xfrm>
                    <a:prstGeom prst="rect">
                      <a:avLst/>
                    </a:prstGeom>
                    <a:noFill/>
                  </pic:spPr>
                </pic:pic>
              </a:graphicData>
            </a:graphic>
          </wp:anchor>
        </w:drawing>
      </w:r>
    </w:p>
    <w:p>
      <w:pPr>
        <w:sectPr>
          <w:pgSz w:w="11900" w:h="16838" w:orient="portrait"/>
          <w:cols w:equalWidth="0" w:num="1">
            <w:col w:w="9479"/>
          </w:cols>
          <w:pgMar w:left="980" w:top="359" w:right="1440" w:bottom="1440"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2275" cy="90214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2275" cy="9021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2275" cy="90214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2275" cy="90214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
      <w:numFmt w:val="bullet"/>
      <w:start w:val="1"/>
    </w:lvl>
    <w:lvl w:ilvl="1">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Roman"/>
      <w:start w:val="2"/>
    </w:lvl>
  </w:abstractNum>
  <w:abstractNum w:abstractNumId="17">
    <w:nsid w:val="3F2DBA31"/>
    <w:multiLevelType w:val="hybridMultilevel"/>
    <w:lvl w:ilvl="0">
      <w:lvlJc w:val="left"/>
      <w:lvlText w:val="2"/>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2026-04-07T16:06:42Z</dcterms:created>
  <dcterms:modified xsi:type="dcterms:W3CDTF">2026-04-07T16:06:42Z</dcterms:modified>
</cp:coreProperties>
</file>