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00"/>
        <w:ind w:left="0" w:right="0" w:hanging="0"/>
        <w:jc w:val="left"/>
        <w:rPr/>
      </w:pPr>
      <w:hyperlink w:anchor="TOC">
        <w:bookmarkStart w:id="0" w:name="stho-20260630x10q.htm"/>
        <w:bookmarkStart w:id="1" w:name="ksstho20260630x10q"/>
        <w:bookmarkEnd w:id="0"/>
        <w:bookmarkEnd w:id="1"/>
        <w:r>
          <w:rPr>
            <w:rStyle w:val="InternetLink"/>
            <w:rFonts w:ascii="Times New Roman;Times;serif" w:hAnsi="Times New Roman;Times;serif"/>
            <w:b w:val="false"/>
            <w:i w:val="false"/>
            <w:caps w:val="false"/>
            <w:smallCaps w:val="false"/>
            <w:color w:val="0563C1"/>
            <w:sz w:val="20"/>
          </w:rPr>
          <w:t>Table of Contents</w:t>
        </w:r>
      </w:hyperlink>
    </w:p>
    <w:p>
      <w:pPr>
        <w:pStyle w:val="TextBody"/>
        <w:pBdr>
          <w:top w:val="single" w:sz="24" w:space="1" w:color="000000"/>
          <w:bottom w:val="single" w:sz="8" w:space="1" w:color="000000"/>
        </w:pBdr>
        <w:bidi w:val="0"/>
        <w:spacing w:before="0" w:after="0"/>
        <w:ind w:left="0" w:right="0" w:hanging="0"/>
        <w:jc w:val="center"/>
        <w:rPr>
          <w:rFonts w:ascii="Times New Roman;Times;serif" w:hAnsi="Times New Roman;Times;serif"/>
          <w:b/>
          <w:sz w:val="2"/>
        </w:rPr>
      </w:pPr>
      <w:r>
        <w:rPr>
          <w:rFonts w:ascii="Times New Roman;Times;serif" w:hAnsi="Times New Roman;Times;serif"/>
          <w:b/>
          <w:sz w:val="2"/>
        </w:rPr>
        <w:t>Consolidate</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bookmarkStart w:id="2" w:name="_820f0b17_df46_483d_8a7b_9e34ab94573c"/>
      <w:bookmarkEnd w:id="2"/>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_______________________________________________________________________________</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10-Q</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CSTzfFTumECK4R3Rla5yoQ_7_0"/>
      <w:bookmarkStart w:id="4" w:name="Tc_OkdaITyJQ0eecxUFgl12zg_6_1"/>
      <w:bookmarkStart w:id="5" w:name="Tc_ScOEUHNPV0yyNx_Cn0jLAA_5_0"/>
      <w:bookmarkStart w:id="6" w:name="Tc_kW9MusFkn062AiKOIR4C7g_3_0"/>
      <w:bookmarkStart w:id="7" w:name="Tc_YR8ug4AR4UmvoPdJ79NIvw_2_1"/>
      <w:bookmarkStart w:id="8" w:name="Tc_oxY1oSPBgUaWGYtNKD-ekA_1_0"/>
      <w:bookmarkStart w:id="9" w:name="_86ffef3c_3476_4e64_a4a6_0050295f0ed7"/>
      <w:bookmarkStart w:id="10" w:name="Tc_CSTzfFTumECK4R3Rla5yoQ_7_0"/>
      <w:bookmarkStart w:id="11" w:name="Tc_OkdaITyJQ0eecxUFgl12zg_6_1"/>
      <w:bookmarkStart w:id="12" w:name="Tc_ScOEUHNPV0yyNx_Cn0jLAA_5_0"/>
      <w:bookmarkStart w:id="13" w:name="Tc_kW9MusFkn062AiKOIR4C7g_3_0"/>
      <w:bookmarkStart w:id="14" w:name="Tc_YR8ug4AR4UmvoPdJ79NIvw_2_1"/>
      <w:bookmarkStart w:id="15" w:name="Tc_oxY1oSPBgUaWGYtNKD-ekA_1_0"/>
      <w:bookmarkStart w:id="16" w:name="_86ffef3c_3476_4e64_a4a6_0050295f0ed7"/>
      <w:bookmarkEnd w:id="10"/>
      <w:bookmarkEnd w:id="11"/>
      <w:bookmarkEnd w:id="12"/>
      <w:bookmarkEnd w:id="13"/>
      <w:bookmarkEnd w:id="14"/>
      <w:bookmarkEnd w:id="15"/>
      <w:bookmarkEnd w:id="16"/>
    </w:p>
    <w:tbl>
      <w:tblPr>
        <w:tblW w:w="3690" w:type="dxa"/>
        <w:jc w:val="left"/>
        <w:tblInd w:w="0" w:type="dxa"/>
        <w:tblLayout w:type="fixed"/>
        <w:tblCellMar>
          <w:top w:w="0" w:type="dxa"/>
          <w:left w:w="0" w:type="dxa"/>
          <w:bottom w:w="0" w:type="dxa"/>
          <w:right w:w="0" w:type="dxa"/>
        </w:tblCellMar>
      </w:tblPr>
      <w:tblGrid>
        <w:gridCol w:w="3094"/>
        <w:gridCol w:w="596"/>
      </w:tblGrid>
      <w:tr>
        <w:trPr/>
        <w:tc>
          <w:tcPr>
            <w:tcW w:w="3094"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left"/>
              <w:rPr/>
            </w:pPr>
            <w:r>
              <w:rPr/>
              <w:t>​</w:t>
            </w:r>
          </w:p>
        </w:tc>
      </w:tr>
      <w:tr>
        <w:trPr/>
        <w:tc>
          <w:tcPr>
            <w:tcW w:w="309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 One)</w:t>
            </w:r>
          </w:p>
        </w:tc>
        <w:tc>
          <w:tcPr>
            <w:tcW w:w="596" w:type="dxa"/>
            <w:tcBorders/>
            <w:vAlign w:val="center"/>
          </w:tcPr>
          <w:p>
            <w:pPr>
              <w:pStyle w:val="TableContents"/>
              <w:bidi w:val="0"/>
              <w:spacing w:before="0" w:after="0"/>
              <w:ind w:left="0" w:right="0" w:hanging="0"/>
              <w:jc w:val="left"/>
              <w:rPr/>
            </w:pPr>
            <w:r>
              <w:rPr/>
              <w:t> </w:t>
            </w:r>
          </w:p>
        </w:tc>
      </w:tr>
      <w:tr>
        <w:trPr/>
        <w:tc>
          <w:tcPr>
            <w:tcW w:w="30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964690" cy="175260"/>
                      <wp:effectExtent l="0" t="0" r="0" b="0"/>
                      <wp:wrapNone/>
                      <wp:docPr id="1" name="Frame1"/>
                      <a:graphic xmlns:a="http://schemas.openxmlformats.org/drawingml/2006/main">
                        <a:graphicData uri="http://schemas.microsoft.com/office/word/2010/wordprocessingShape">
                          <wps:wsp>
                            <wps:cNvSpPr txBox="1"/>
                            <wps:spPr>
                              <a:xfrm>
                                <a:off x="0" y="0"/>
                                <a:ext cx="196469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378460" cy="2103120"/>
                      <wp:effectExtent l="0" t="0" r="0" b="0"/>
                      <wp:wrapNone/>
                      <wp:docPr id="2" name="Frame2"/>
                      <a:graphic xmlns:a="http://schemas.openxmlformats.org/drawingml/2006/main">
                        <a:graphicData uri="http://schemas.microsoft.com/office/word/2010/wordprocessingShape">
                          <wps:wsp>
                            <wps:cNvSpPr txBox="1"/>
                            <wps:spPr>
                              <a:xfrm>
                                <a:off x="0" y="0"/>
                                <a:ext cx="378460" cy="2103120"/>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QUARTERLY REPORT PURSUANT TO SECTION 13 OR 15(d) OF THE SECURITIES EXCHANGE ACT OF 1934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65.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QUARTERLY REPORT PURSUANT TO SECTION 13 OR 15(d) OF THE SECURITIES EXCHANGE ACT OF 1934</w:t>
                            </w:r>
                          </w:p>
                        </w:txbxContent>
                      </v:textbox>
                      <w10:wrap type="none"/>
                    </v:rect>
                  </w:pict>
                </mc:Fallback>
              </mc:AlternateContent>
            </w:r>
          </w:p>
        </w:tc>
      </w:tr>
      <w:tr>
        <w:trPr/>
        <w:tc>
          <w:tcPr>
            <w:tcW w:w="36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quarterly period ended</w:t>
            </w:r>
          </w:p>
        </w:tc>
      </w:tr>
      <w:tr>
        <w:trPr/>
        <w:tc>
          <w:tcPr>
            <w:tcW w:w="36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36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tc>
      </w:tr>
      <w:tr>
        <w:trPr/>
        <w:tc>
          <w:tcPr>
            <w:tcW w:w="30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964690" cy="175260"/>
                      <wp:effectExtent l="0" t="0" r="0" b="0"/>
                      <wp:wrapNone/>
                      <wp:docPr id="3" name="Frame3"/>
                      <a:graphic xmlns:a="http://schemas.openxmlformats.org/drawingml/2006/main">
                        <a:graphicData uri="http://schemas.microsoft.com/office/word/2010/wordprocessingShape">
                          <wps:wsp>
                            <wps:cNvSpPr txBox="1"/>
                            <wps:spPr>
                              <a:xfrm>
                                <a:off x="0" y="0"/>
                                <a:ext cx="196469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78460" cy="2103120"/>
                      <wp:effectExtent l="0" t="0" r="0" b="0"/>
                      <wp:wrapNone/>
                      <wp:docPr id="4" name="Frame4"/>
                      <a:graphic xmlns:a="http://schemas.openxmlformats.org/drawingml/2006/main">
                        <a:graphicData uri="http://schemas.microsoft.com/office/word/2010/wordprocessingShape">
                          <wps:wsp>
                            <wps:cNvSpPr txBox="1"/>
                            <wps:spPr>
                              <a:xfrm>
                                <a:off x="0" y="0"/>
                                <a:ext cx="378460" cy="2103120"/>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TRANSITION REPORT PURSUANT TO SECTION 13 OR 15(d) OF THE SECURITIES EXCHANGE ACT OF 1934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65.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TRANSITION REPORT PURSUANT TO SECTION 13 OR 15(d) OF THE SECURITIES EXCHANGE ACT OF 1934</w:t>
                            </w:r>
                          </w:p>
                        </w:txbxContent>
                      </v:textbox>
                      <w10:wrap type="none"/>
                    </v:rect>
                  </w:pict>
                </mc:Fallback>
              </mc:AlternateContent>
            </w:r>
          </w:p>
        </w:tc>
      </w:tr>
      <w:tr>
        <w:trPr/>
        <w:tc>
          <w:tcPr>
            <w:tcW w:w="36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No. 001-41572</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_______________________________________________________________________________</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Star Holdings</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MsmOZPtjqk6AHOIh0cqBig_5_2"/>
      <w:bookmarkStart w:id="18" w:name="Tc_hvxDODEy3kKXl8HSqJtYdA_5_0"/>
      <w:bookmarkStart w:id="19" w:name="Tc_QKO0je7EdE2bdof3jzA8cQ_4_0"/>
      <w:bookmarkStart w:id="20" w:name="Tc_PjtgPQbf4ku5YbWXbBGL5g_2_2"/>
      <w:bookmarkStart w:id="21" w:name="Tc_vsD6UTfRpkemIiTJwRpk6A_2_0"/>
      <w:bookmarkStart w:id="22" w:name="_0241af9d_63b4_419e_9575_9273ce9ef23f"/>
      <w:bookmarkStart w:id="23" w:name="Tc_MsmOZPtjqk6AHOIh0cqBig_5_2"/>
      <w:bookmarkStart w:id="24" w:name="Tc_hvxDODEy3kKXl8HSqJtYdA_5_0"/>
      <w:bookmarkStart w:id="25" w:name="Tc_QKO0je7EdE2bdof3jzA8cQ_4_0"/>
      <w:bookmarkStart w:id="26" w:name="Tc_PjtgPQbf4ku5YbWXbBGL5g_2_2"/>
      <w:bookmarkStart w:id="27" w:name="Tc_vsD6UTfRpkemIiTJwRpk6A_2_0"/>
      <w:bookmarkStart w:id="28" w:name="_0241af9d_63b4_419e_9575_9273ce9ef23f"/>
      <w:bookmarkEnd w:id="23"/>
      <w:bookmarkEnd w:id="24"/>
      <w:bookmarkEnd w:id="25"/>
      <w:bookmarkEnd w:id="26"/>
      <w:bookmarkEnd w:id="27"/>
      <w:bookmarkEnd w:id="28"/>
    </w:p>
    <w:tbl>
      <w:tblPr>
        <w:tblW w:w="424" w:type="dxa"/>
        <w:jc w:val="left"/>
        <w:tblInd w:w="0" w:type="dxa"/>
        <w:tblLayout w:type="fixed"/>
        <w:tblCellMar>
          <w:top w:w="0" w:type="dxa"/>
          <w:left w:w="0" w:type="dxa"/>
          <w:bottom w:w="0" w:type="dxa"/>
          <w:right w:w="0" w:type="dxa"/>
        </w:tblCellMar>
      </w:tblPr>
      <w:tblGrid>
        <w:gridCol w:w="124"/>
        <w:gridCol w:w="109"/>
        <w:gridCol w:w="19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8740" cy="175260"/>
                      <wp:effectExtent l="0" t="0" r="0" b="0"/>
                      <wp:wrapNone/>
                      <wp:docPr id="5" name="Frame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175260"/>
                      <wp:effectExtent l="0" t="0" r="0" b="0"/>
                      <wp:wrapNone/>
                      <wp:docPr id="6" name="Frame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1285" cy="175260"/>
                      <wp:effectExtent l="0" t="0" r="0" b="0"/>
                      <wp:wrapNone/>
                      <wp:docPr id="7" name="Frame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78740" cy="934720"/>
                      <wp:effectExtent l="0" t="0" r="0" b="0"/>
                      <wp:wrapNone/>
                      <wp:docPr id="8" name="Frame8"/>
                      <a:graphic xmlns:a="http://schemas.openxmlformats.org/drawingml/2006/main">
                        <a:graphicData uri="http://schemas.microsoft.com/office/word/2010/wordprocessingShape">
                          <wps:wsp>
                            <wps:cNvSpPr txBox="1"/>
                            <wps:spPr>
                              <a:xfrm>
                                <a:off x="0" y="0"/>
                                <a:ext cx="78740" cy="93472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Maryland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73.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Maryland</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525780"/>
                      <wp:effectExtent l="0" t="0" r="0" b="0"/>
                      <wp:wrapNone/>
                      <wp:docPr id="9" name="Frame9"/>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0"/>
                                    <w:ind w:left="0" w:right="0" w:hanging="0"/>
                                    <w:jc w:val="right"/>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pPr>
                            <w:r>
                              <w:rPr/>
                              <w:t>  ​ ​ ​</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1285" cy="701040"/>
                      <wp:effectExtent l="0" t="0" r="0" b="0"/>
                      <wp:wrapNone/>
                      <wp:docPr id="10" name="Frame10"/>
                      <a:graphic xmlns:a="http://schemas.openxmlformats.org/drawingml/2006/main">
                        <a:graphicData uri="http://schemas.microsoft.com/office/word/2010/wordprocessingShape">
                          <wps:wsp>
                            <wps:cNvSpPr txBox="1"/>
                            <wps:spPr>
                              <a:xfrm>
                                <a:off x="0" y="0"/>
                                <a:ext cx="121285" cy="70104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37-6762818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37-6762818</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8740" cy="5382895"/>
                      <wp:effectExtent l="0" t="0" r="0" b="0"/>
                      <wp:wrapNone/>
                      <wp:docPr id="11" name="Frame11"/>
                      <a:graphic xmlns:a="http://schemas.openxmlformats.org/drawingml/2006/main">
                        <a:graphicData uri="http://schemas.microsoft.com/office/word/2010/wordprocessingShape">
                          <wps:wsp>
                            <wps:cNvSpPr txBox="1"/>
                            <wps:spPr>
                              <a:xfrm>
                                <a:off x="0" y="0"/>
                                <a:ext cx="78740" cy="538289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42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xbxContent>
                      </v:textbox>
                      <w10:wrap type="none"/>
                    </v:rect>
                  </w:pict>
                </mc:Fallback>
              </mc:AlternateContent>
            </w:r>
          </w:p>
        </w:tc>
        <w:tc>
          <w:tcPr>
            <w:tcW w:w="109" w:type="dxa"/>
            <w:tcBorders/>
            <w:vAlign w:val="center"/>
          </w:tcPr>
          <w:p>
            <w:pPr>
              <w:pStyle w:val="TableContents"/>
              <w:bidi w:val="0"/>
              <w:spacing w:before="0" w:after="240"/>
              <w:ind w:left="0" w:right="0" w:hanging="0"/>
              <w:jc w:val="right"/>
              <w:rPr/>
            </w:pPr>
            <w:r>
              <w:rPr/>
              <w:t>​</w: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21285" cy="2219960"/>
                      <wp:effectExtent l="0" t="0" r="0" b="0"/>
                      <wp:wrapNone/>
                      <wp:docPr id="12" name="Frame12"/>
                      <a:graphic xmlns:a="http://schemas.openxmlformats.org/drawingml/2006/main">
                        <a:graphicData uri="http://schemas.microsoft.com/office/word/2010/wordprocessingShape">
                          <wps:wsp>
                            <wps:cNvSpPr txBox="1"/>
                            <wps:spPr>
                              <a:xfrm>
                                <a:off x="0" y="0"/>
                                <a:ext cx="121285" cy="221996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74.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Number)</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78740" cy="2366645"/>
                      <wp:effectExtent l="0" t="0" r="0" b="0"/>
                      <wp:wrapNone/>
                      <wp:docPr id="13" name="Frame13"/>
                      <a:graphic xmlns:a="http://schemas.openxmlformats.org/drawingml/2006/main">
                        <a:graphicData uri="http://schemas.microsoft.com/office/word/2010/wordprocessingShape">
                          <wps:wsp>
                            <wps:cNvSpPr txBox="1"/>
                            <wps:spPr>
                              <a:xfrm>
                                <a:off x="0" y="0"/>
                                <a:ext cx="78740" cy="2366645"/>
                              </a:xfrm>
                              <a:prstGeom prst="rect"/>
                              <a:solidFill>
                                <a:srgbClr val="FFFFFF"/>
                              </a:solidFill>
                            </wps:spPr>
                            <wps:txbx>
                              <w:txbxContent>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16"/>
                                    </w:rPr>
                                    <w:t>One Penn Plaza, 51</w:t>
                                  </w:r>
                                  <w:r>
                                    <w:rPr>
                                      <w:rFonts w:ascii="Times New Roman;Times;serif" w:hAnsi="Times New Roman;Times;serif"/>
                                      <w:b/>
                                      <w:sz w:val="12"/>
                                    </w:rPr>
                                    <w:t>st</w:t>
                                  </w:r>
                                  <w:r>
                                    <w:rPr>
                                      <w:rFonts w:ascii="Times New Roman;Times;serif" w:hAnsi="Times New Roman;Times;serif"/>
                                      <w:sz w:val="20"/>
                                    </w:rPr>
                                    <w:t xml:space="preserve"> </w:t>
                                  </w:r>
                                  <w:r>
                                    <w:rPr>
                                      <w:rFonts w:ascii="Times New Roman;Times;serif" w:hAnsi="Times New Roman;Times;serif"/>
                                      <w:b/>
                                      <w:sz w:val="16"/>
                                    </w:rPr>
                                    <w:t>Floor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86.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16"/>
                              </w:rPr>
                              <w:t>One Penn Plaza, 51</w:t>
                            </w:r>
                            <w:r>
                              <w:rPr>
                                <w:rFonts w:ascii="Times New Roman;Times;serif" w:hAnsi="Times New Roman;Times;serif"/>
                                <w:b/>
                                <w:sz w:val="12"/>
                              </w:rPr>
                              <w:t>st</w:t>
                            </w:r>
                            <w:r>
                              <w:rPr>
                                <w:rFonts w:ascii="Times New Roman;Times;serif" w:hAnsi="Times New Roman;Times;serif"/>
                                <w:sz w:val="20"/>
                              </w:rPr>
                              <w:t xml:space="preserve"> </w:t>
                            </w:r>
                            <w:r>
                              <w:rPr>
                                <w:rFonts w:ascii="Times New Roman;Times;serif" w:hAnsi="Times New Roman;Times;serif"/>
                                <w:b/>
                                <w:sz w:val="16"/>
                              </w:rPr>
                              <w:t>Floor</w:t>
                            </w:r>
                          </w:p>
                        </w:txbxContent>
                      </v:textbox>
                      <w10:wrap type="none"/>
                    </v:rect>
                  </w:pict>
                </mc:Fallback>
              </mc:AlternateContent>
            </w:r>
          </w:p>
        </w:tc>
        <w:tc>
          <w:tcPr>
            <w:tcW w:w="109" w:type="dxa"/>
            <w:tcBorders/>
            <w:vAlign w:val="center"/>
          </w:tcPr>
          <w:p>
            <w:pPr>
              <w:pStyle w:val="TableContents"/>
              <w:bidi w:val="0"/>
              <w:spacing w:before="0" w:after="24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8740" cy="1198245"/>
                      <wp:effectExtent l="0" t="0" r="0" b="0"/>
                      <wp:wrapNone/>
                      <wp:docPr id="14" name="Frame14"/>
                      <a:graphic xmlns:a="http://schemas.openxmlformats.org/drawingml/2006/main">
                        <a:graphicData uri="http://schemas.microsoft.com/office/word/2010/wordprocessingShape">
                          <wps:wsp>
                            <wps:cNvSpPr txBox="1"/>
                            <wps:spPr>
                              <a:xfrm>
                                <a:off x="0" y="0"/>
                                <a:ext cx="78740" cy="119824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New York</w:t>
                                  </w:r>
                                  <w:r>
                                    <w:rPr>
                                      <w:rFonts w:ascii="Times New Roman;Times;serif" w:hAnsi="Times New Roman;Times;serif"/>
                                      <w:sz w:val="20"/>
                                    </w:rPr>
                                    <w:t xml:space="preserve"> </w:t>
                                  </w:r>
                                  <w:r>
                                    <w:rPr>
                                      <w:rFonts w:ascii="Times New Roman;Times;serif" w:hAnsi="Times New Roman;Times;serif"/>
                                      <w:b/>
                                      <w:sz w:val="16"/>
                                    </w:rPr>
                                    <w:t>, NY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94.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New York</w:t>
                            </w:r>
                            <w:r>
                              <w:rPr>
                                <w:rFonts w:ascii="Times New Roman;Times;serif" w:hAnsi="Times New Roman;Times;serif"/>
                                <w:sz w:val="20"/>
                              </w:rPr>
                              <w:t xml:space="preserve"> </w:t>
                            </w:r>
                            <w:r>
                              <w:rPr>
                                <w:rFonts w:ascii="Times New Roman;Times;serif" w:hAnsi="Times New Roman;Times;serif"/>
                                <w:b/>
                                <w:sz w:val="16"/>
                              </w:rPr>
                              <w:t>, NY</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15" name="Frame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righ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1285" cy="350520"/>
                      <wp:effectExtent l="0" t="0" r="0" b="0"/>
                      <wp:wrapNone/>
                      <wp:docPr id="16" name="Frame16"/>
                      <a:graphic xmlns:a="http://schemas.openxmlformats.org/drawingml/2006/main">
                        <a:graphicData uri="http://schemas.microsoft.com/office/word/2010/wordprocessingShape">
                          <wps:wsp>
                            <wps:cNvSpPr txBox="1"/>
                            <wps:spPr>
                              <a:xfrm>
                                <a:off x="0" y="0"/>
                                <a:ext cx="121285" cy="35052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10119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10119</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8740" cy="3388360"/>
                      <wp:effectExtent l="0" t="0" r="0" b="0"/>
                      <wp:wrapNone/>
                      <wp:docPr id="17" name="Frame17"/>
                      <a:graphic xmlns:a="http://schemas.openxmlformats.org/drawingml/2006/main">
                        <a:graphicData uri="http://schemas.microsoft.com/office/word/2010/wordprocessingShape">
                          <wps:wsp>
                            <wps:cNvSpPr txBox="1"/>
                            <wps:spPr>
                              <a:xfrm>
                                <a:off x="0" y="0"/>
                                <a:ext cx="78740" cy="338836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66.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xbxContent>
                      </v:textbox>
                      <w10:wrap type="none"/>
                    </v:rect>
                  </w:pict>
                </mc:Fallback>
              </mc:AlternateContent>
            </w:r>
          </w:p>
        </w:tc>
        <w:tc>
          <w:tcPr>
            <w:tcW w:w="109" w:type="dxa"/>
            <w:tcBorders/>
            <w:vAlign w:val="center"/>
          </w:tcPr>
          <w:p>
            <w:pPr>
              <w:pStyle w:val="TableContents"/>
              <w:bidi w:val="0"/>
              <w:spacing w:before="0" w:after="240"/>
              <w:ind w:left="0" w:right="0" w:hanging="0"/>
              <w:jc w:val="right"/>
              <w:rPr/>
            </w:pPr>
            <w:r>
              <w:rPr/>
              <w:t>​</w:t>
            </w:r>
          </w:p>
        </w:tc>
        <w:tc>
          <w:tcPr>
            <w:tcW w:w="191"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1285" cy="584200"/>
                      <wp:effectExtent l="0" t="0" r="0" b="0"/>
                      <wp:wrapNone/>
                      <wp:docPr id="18" name="Frame18"/>
                      <a:graphic xmlns:a="http://schemas.openxmlformats.org/drawingml/2006/main">
                        <a:graphicData uri="http://schemas.microsoft.com/office/word/2010/wordprocessingShape">
                          <wps:wsp>
                            <wps:cNvSpPr txBox="1"/>
                            <wps:spPr>
                              <a:xfrm>
                                <a:off x="0" y="0"/>
                                <a:ext cx="121285" cy="58420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4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Registrant’s telephone number, including area code: </w:t>
      </w:r>
      <w:r>
        <w:rPr>
          <w:rFonts w:ascii="Times New Roman;Times;serif" w:hAnsi="Times New Roman;Times;serif"/>
          <w:b/>
          <w:sz w:val="16"/>
        </w:rPr>
        <w:t>(212) 930-9400</w:t>
      </w:r>
    </w:p>
    <w:p>
      <w:pPr>
        <w:pStyle w:val="TextBody"/>
        <w:bidi w:val="0"/>
        <w:spacing w:before="0" w:after="240"/>
        <w:ind w:left="0" w:right="0" w:hanging="0"/>
        <w:jc w:val="center"/>
        <w:rPr/>
      </w:pPr>
      <w:r>
        <w:rPr/>
        <w:t>​</w:t>
      </w:r>
    </w:p>
    <w:p>
      <w:pPr>
        <w:pStyle w:val="TextBody"/>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16"/>
        </w:rPr>
        <w:t>1114 Avenue of the Americas, 39</w:t>
      </w:r>
      <w:r>
        <w:rPr>
          <w:rFonts w:ascii="Times New Roman;Times;serif" w:hAnsi="Times New Roman;Times;serif"/>
          <w:sz w:val="12"/>
        </w:rPr>
        <w:t>th</w:t>
      </w:r>
      <w:r>
        <w:rPr>
          <w:rFonts w:ascii="Times New Roman;Times;serif" w:hAnsi="Times New Roman;Times;serif"/>
          <w:sz w:val="20"/>
        </w:rPr>
        <w:t xml:space="preserve"> </w:t>
      </w:r>
      <w:r>
        <w:rPr>
          <w:rFonts w:ascii="Times New Roman;Times;serif" w:hAnsi="Times New Roman;Times;serif"/>
          <w:sz w:val="16"/>
        </w:rPr>
        <w:t>Floor, New York, NY</w:t>
      </w:r>
      <w:r>
        <w:rPr>
          <w:rFonts w:ascii="Times New Roman;Times;serif" w:hAnsi="Times New Roman;Times;serif"/>
          <w:sz w:val="20"/>
        </w:rPr>
        <w:t xml:space="preserve"> </w:t>
      </w:r>
      <w:r>
        <w:rPr>
          <w:rFonts w:ascii="Times New Roman;Times;serif" w:hAnsi="Times New Roman;Times;serif"/>
          <w:sz w:val="16"/>
        </w:rPr>
        <w:t>10036</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r>
        <w:rPr>
          <w:rFonts w:ascii="Times New Roman;Times;serif" w:hAnsi="Times New Roman;Times;serif"/>
          <w:i/>
          <w:sz w:val="16"/>
        </w:rPr>
        <w:t>Former name, former address and former fiscal year, if changed since last report)</w:t>
      </w:r>
    </w:p>
    <w:p>
      <w:pPr>
        <w:pStyle w:val="TextBody"/>
        <w:bidi w:val="0"/>
        <w:spacing w:before="0" w:after="160"/>
        <w:ind w:left="0" w:right="0" w:hanging="0"/>
        <w:jc w:val="center"/>
        <w:rPr>
          <w:rFonts w:ascii="Times New Roman;Times;serif" w:hAnsi="Times New Roman;Times;serif"/>
          <w:sz w:val="16"/>
        </w:rPr>
      </w:pPr>
      <w:r>
        <w:rPr>
          <w:rFonts w:ascii="Times New Roman;Times;serif" w:hAnsi="Times New Roman;Times;serif"/>
          <w:sz w:val="16"/>
        </w:rPr>
        <w:t>______________________________________________________________________________</w:t>
      </w:r>
    </w:p>
    <w:p>
      <w:pPr>
        <w:pStyle w:val="TextBody"/>
        <w:bidi w:val="0"/>
        <w:spacing w:before="0" w:after="0"/>
        <w:ind w:left="0" w:right="0" w:firstLine="450"/>
        <w:jc w:val="both"/>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9" w:name="Tc_43BrMqu1V0ugs0UdTg3KSw_1_4"/>
      <w:bookmarkStart w:id="30" w:name="Tc_XZ6bc8RzRkihFNMDPsaU9Q_1_2"/>
      <w:bookmarkStart w:id="31" w:name="Tc_TA_-zr1h1Ei2X1yq2xFVGA_1_0"/>
      <w:bookmarkStart w:id="32" w:name="_975a0bb2_828e_4624_9c00_c627cf2f216b"/>
      <w:bookmarkStart w:id="33" w:name="Tc_43BrMqu1V0ugs0UdTg3KSw_1_4"/>
      <w:bookmarkStart w:id="34" w:name="Tc_XZ6bc8RzRkihFNMDPsaU9Q_1_2"/>
      <w:bookmarkStart w:id="35" w:name="Tc_TA_-zr1h1Ei2X1yq2xFVGA_1_0"/>
      <w:bookmarkStart w:id="36" w:name="_975a0bb2_828e_4624_9c00_c627cf2f216b"/>
      <w:bookmarkEnd w:id="33"/>
      <w:bookmarkEnd w:id="34"/>
      <w:bookmarkEnd w:id="35"/>
      <w:bookmarkEnd w:id="36"/>
    </w:p>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8740" cy="175260"/>
                      <wp:effectExtent l="0" t="0" r="0" b="0"/>
                      <wp:wrapNone/>
                      <wp:docPr id="19" name="Frame1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9215" cy="175260"/>
                      <wp:effectExtent l="0" t="0" r="0" b="0"/>
                      <wp:wrapNone/>
                      <wp:docPr id="20" name="Frame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9215" cy="175260"/>
                      <wp:effectExtent l="0" t="0" r="0" b="0"/>
                      <wp:wrapNone/>
                      <wp:docPr id="21"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2" name="Frame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97790" cy="175260"/>
                      <wp:effectExtent l="0" t="0" r="0" b="0"/>
                      <wp:wrapNone/>
                      <wp:docPr id="23" name="Frame2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8740" cy="1518920"/>
                      <wp:effectExtent l="0" t="0" r="0" b="0"/>
                      <wp:wrapNone/>
                      <wp:docPr id="24" name="Frame24"/>
                      <a:graphic xmlns:a="http://schemas.openxmlformats.org/drawingml/2006/main">
                        <a:graphicData uri="http://schemas.microsoft.com/office/word/2010/wordprocessingShape">
                          <wps:wsp>
                            <wps:cNvSpPr txBox="1"/>
                            <wps:spPr>
                              <a:xfrm>
                                <a:off x="0" y="0"/>
                                <a:ext cx="78740" cy="151892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1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525780"/>
                      <wp:effectExtent l="0" t="0" r="0" b="0"/>
                      <wp:wrapNone/>
                      <wp:docPr id="25" name="Frame25"/>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0"/>
                                    <w:ind w:left="0" w:right="0" w:hanging="0"/>
                                    <w:jc w:val="center"/>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  ​ ​ ​</w:t>
                            </w:r>
                          </w:p>
                        </w:txbxContent>
                      </v:textbox>
                      <w10:wrap type="none"/>
                    </v:rect>
                  </w:pict>
                </mc:Fallback>
              </mc:AlternateContent>
            </w:r>
          </w:p>
        </w:tc>
        <w:tc>
          <w:tcPr>
            <w:tcW w:w="10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9215" cy="1752600"/>
                      <wp:effectExtent l="0" t="0" r="0" b="0"/>
                      <wp:wrapNone/>
                      <wp:docPr id="26" name="Frame26"/>
                      <a:graphic xmlns:a="http://schemas.openxmlformats.org/drawingml/2006/main">
                        <a:graphicData uri="http://schemas.microsoft.com/office/word/2010/wordprocessingShape">
                          <wps:wsp>
                            <wps:cNvSpPr txBox="1"/>
                            <wps:spPr>
                              <a:xfrm>
                                <a:off x="0" y="0"/>
                                <a:ext cx="69215" cy="175260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215" cy="525780"/>
                      <wp:effectExtent l="0" t="0" r="0" b="0"/>
                      <wp:wrapNone/>
                      <wp:docPr id="27" name="Frame27"/>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0"/>
                                    <w:ind w:left="0" w:right="0" w:hanging="0"/>
                                    <w:jc w:val="center"/>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  ​ ​ ​</w:t>
                            </w:r>
                          </w:p>
                        </w:txbxContent>
                      </v:textbox>
                      <w10:wrap type="none"/>
                    </v:rect>
                  </w:pict>
                </mc:Fallback>
              </mc:AlternateContent>
            </w:r>
          </w:p>
        </w:tc>
        <w:tc>
          <w:tcPr>
            <w:tcW w:w="15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97790" cy="2465705"/>
                      <wp:effectExtent l="0" t="0" r="0" b="0"/>
                      <wp:wrapNone/>
                      <wp:docPr id="28" name="Frame28"/>
                      <a:graphic xmlns:a="http://schemas.openxmlformats.org/drawingml/2006/main">
                        <a:graphicData uri="http://schemas.microsoft.com/office/word/2010/wordprocessingShape">
                          <wps:wsp>
                            <wps:cNvSpPr txBox="1"/>
                            <wps:spPr>
                              <a:xfrm>
                                <a:off x="0" y="0"/>
                                <a:ext cx="97790" cy="246570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94.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v:textbox>
                      <w10:wrap type="none"/>
                    </v:rect>
                  </w:pict>
                </mc:Fallback>
              </mc:AlternateContent>
            </w:r>
          </w:p>
        </w:tc>
      </w:tr>
      <w:tr>
        <w:trPr/>
        <w:tc>
          <w:tcPr>
            <w:tcW w:w="12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78740" cy="2208530"/>
                      <wp:effectExtent l="0" t="0" r="0" b="0"/>
                      <wp:wrapNone/>
                      <wp:docPr id="29" name="Frame29"/>
                      <a:graphic xmlns:a="http://schemas.openxmlformats.org/drawingml/2006/main">
                        <a:graphicData uri="http://schemas.microsoft.com/office/word/2010/wordprocessingShape">
                          <wps:wsp>
                            <wps:cNvSpPr txBox="1"/>
                            <wps:spPr>
                              <a:xfrm>
                                <a:off x="0" y="0"/>
                                <a:ext cx="78740" cy="220853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Shares of Beneficial Interest,</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$0.001 par value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73.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Shares of Beneficial Interest,</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$0.001 par value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9215" cy="175260"/>
                      <wp:effectExtent l="0" t="0" r="0" b="0"/>
                      <wp:wrapNone/>
                      <wp:docPr id="30"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109"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9215" cy="467360"/>
                      <wp:effectExtent l="0" t="0" r="0" b="0"/>
                      <wp:wrapNone/>
                      <wp:docPr id="31" name="Frame31"/>
                      <a:graphic xmlns:a="http://schemas.openxmlformats.org/drawingml/2006/main">
                        <a:graphicData uri="http://schemas.microsoft.com/office/word/2010/wordprocessingShape">
                          <wps:wsp>
                            <wps:cNvSpPr txBox="1"/>
                            <wps:spPr>
                              <a:xfrm>
                                <a:off x="0" y="0"/>
                                <a:ext cx="69215" cy="46736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STHO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STHO</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9215" cy="175260"/>
                      <wp:effectExtent l="0" t="0" r="0" b="0"/>
                      <wp:wrapNone/>
                      <wp:docPr id="32" name="Frame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15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97790" cy="1402080"/>
                      <wp:effectExtent l="0" t="0" r="0" b="0"/>
                      <wp:wrapNone/>
                      <wp:docPr id="33" name="Frame33"/>
                      <a:graphic xmlns:a="http://schemas.openxmlformats.org/drawingml/2006/main">
                        <a:graphicData uri="http://schemas.microsoft.com/office/word/2010/wordprocessingShape">
                          <wps:wsp>
                            <wps:cNvSpPr txBox="1"/>
                            <wps:spPr>
                              <a:xfrm>
                                <a:off x="0" y="0"/>
                                <a:ext cx="97790" cy="140208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Nasdaq Global Market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0.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Nasdaq Global Market</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100"/>
        <w:ind w:left="0" w:right="0" w:firstLine="49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00"/>
        <w:ind w:left="0" w:right="0" w:firstLine="49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firstLine="495"/>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7" w:name="Tc_1vW6Hh6ZXUWXgYg5AYdYWg_2_4"/>
      <w:bookmarkStart w:id="38" w:name="Tc_YuSUrif0lk2j4BMbpBWaUA_2_2"/>
      <w:bookmarkStart w:id="39" w:name="Tc_I4Q8R8qp5EGjhHfJvlfvFw_2_0"/>
      <w:bookmarkStart w:id="40" w:name="Tc_KZyszB5_0UCrbPRiE4DFCQ_1_8"/>
      <w:bookmarkStart w:id="41" w:name="Tc_RlXsLLAu1E-yuUme212W-g_1_6"/>
      <w:bookmarkStart w:id="42" w:name="Tc_zm0ltiTKlk-vaOET1RqGrQ_1_4"/>
      <w:bookmarkStart w:id="43" w:name="Tc_NbzOHzHKZ0C8QY9ekhHnng_1_2"/>
      <w:bookmarkStart w:id="44" w:name="Tc_pW-Lm-Ve8kyH5KPrPaXVRw_1_0"/>
      <w:bookmarkStart w:id="45" w:name="_13db7370_8c82_4d76_b81c_f7be1dfc676d"/>
      <w:bookmarkStart w:id="46" w:name="Tc_1vW6Hh6ZXUWXgYg5AYdYWg_2_4"/>
      <w:bookmarkStart w:id="47" w:name="Tc_YuSUrif0lk2j4BMbpBWaUA_2_2"/>
      <w:bookmarkStart w:id="48" w:name="Tc_I4Q8R8qp5EGjhHfJvlfvFw_2_0"/>
      <w:bookmarkStart w:id="49" w:name="Tc_KZyszB5_0UCrbPRiE4DFCQ_1_8"/>
      <w:bookmarkStart w:id="50" w:name="Tc_RlXsLLAu1E-yuUme212W-g_1_6"/>
      <w:bookmarkStart w:id="51" w:name="Tc_zm0ltiTKlk-vaOET1RqGrQ_1_4"/>
      <w:bookmarkStart w:id="52" w:name="Tc_NbzOHzHKZ0C8QY9ekhHnng_1_2"/>
      <w:bookmarkStart w:id="53" w:name="Tc_pW-Lm-Ve8kyH5KPrPaXVRw_1_0"/>
      <w:bookmarkStart w:id="54" w:name="_13db7370_8c82_4d76_b81c_f7be1dfc676d"/>
      <w:bookmarkEnd w:id="46"/>
      <w:bookmarkEnd w:id="47"/>
      <w:bookmarkEnd w:id="48"/>
      <w:bookmarkEnd w:id="49"/>
      <w:bookmarkEnd w:id="50"/>
      <w:bookmarkEnd w:id="51"/>
      <w:bookmarkEnd w:id="52"/>
      <w:bookmarkEnd w:id="53"/>
      <w:bookmarkEnd w:id="54"/>
    </w:p>
    <w:tbl>
      <w:tblPr>
        <w:tblW w:w="8157" w:type="dxa"/>
        <w:jc w:val="left"/>
        <w:tblInd w:w="0" w:type="dxa"/>
        <w:tblLayout w:type="fixed"/>
        <w:tblCellMar>
          <w:top w:w="0" w:type="dxa"/>
          <w:left w:w="0" w:type="dxa"/>
          <w:bottom w:w="0" w:type="dxa"/>
          <w:right w:w="0" w:type="dxa"/>
        </w:tblCellMar>
      </w:tblPr>
      <w:tblGrid>
        <w:gridCol w:w="1426"/>
        <w:gridCol w:w="286"/>
        <w:gridCol w:w="916"/>
        <w:gridCol w:w="286"/>
        <w:gridCol w:w="1261"/>
        <w:gridCol w:w="286"/>
        <w:gridCol w:w="1411"/>
        <w:gridCol w:w="109"/>
        <w:gridCol w:w="2176"/>
      </w:tblGrid>
      <w:tr>
        <w:trPr/>
        <w:tc>
          <w:tcPr>
            <w:tcW w:w="14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9215" cy="175260"/>
                      <wp:effectExtent l="0" t="0" r="0" b="0"/>
                      <wp:wrapNone/>
                      <wp:docPr id="34" name="Frame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6" w:type="dxa"/>
            <w:tcBorders/>
            <w:vAlign w:val="center"/>
          </w:tcPr>
          <w:p>
            <w:pPr>
              <w:pStyle w:val="TableContents"/>
              <w:bidi w:val="0"/>
              <w:spacing w:before="0" w:after="0"/>
              <w:ind w:left="0" w:right="0" w:hanging="0"/>
              <w:jc w:val="left"/>
              <w:rPr/>
            </w:pPr>
            <w:r>
              <w:rPr/>
              <w:t>​</w:t>
            </w:r>
          </w:p>
        </w:tc>
      </w:tr>
      <w:tr>
        <w:trPr/>
        <w:tc>
          <w:tcPr>
            <w:tcW w:w="14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Large Accelerated </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Filer</w:t>
            </w:r>
          </w:p>
        </w:tc>
        <w:tc>
          <w:tcPr>
            <w:tcW w:w="286" w:type="dxa"/>
            <w:tcBorders/>
            <w:vAlign w:val="center"/>
          </w:tcPr>
          <w:p>
            <w:pPr>
              <w:pStyle w:val="TableContents"/>
              <w:bidi w:val="0"/>
              <w:spacing w:before="0" w:after="0"/>
              <w:ind w:left="0" w:right="0" w:hanging="0"/>
              <w:jc w:val="left"/>
              <w:rPr/>
            </w:pPr>
            <w:r>
              <w:rPr/>
              <w:t>  ​ ​</w:t>
            </w:r>
          </w:p>
        </w:tc>
        <w:tc>
          <w:tcPr>
            <w:tcW w:w="916"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Accelerated</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Filer </w:t>
            </w:r>
          </w:p>
        </w:tc>
        <w:tc>
          <w:tcPr>
            <w:tcW w:w="286" w:type="dxa"/>
            <w:tcBorders/>
            <w:vAlign w:val="center"/>
          </w:tcPr>
          <w:p>
            <w:pPr>
              <w:pStyle w:val="TableContents"/>
              <w:bidi w:val="0"/>
              <w:spacing w:before="0" w:after="0"/>
              <w:ind w:left="0" w:right="0" w:hanging="0"/>
              <w:jc w:val="left"/>
              <w:rPr/>
            </w:pPr>
            <w:r>
              <w:rPr/>
              <w:t>  ​ ​</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Non accelerated </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Filer</w:t>
            </w:r>
          </w:p>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 ​</w:t>
            </w:r>
          </w:p>
        </w:tc>
        <w:tc>
          <w:tcPr>
            <w:tcW w:w="14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Smaller Reporting </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Company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350520"/>
                      <wp:effectExtent l="0" t="0" r="0" b="0"/>
                      <wp:wrapNone/>
                      <wp:docPr id="35" name="Frame35"/>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w:t>
                            </w:r>
                          </w:p>
                        </w:txbxContent>
                      </v:textbox>
                      <w10:wrap type="none"/>
                    </v:rect>
                  </w:pict>
                </mc:Fallback>
              </mc:AlternateContent>
            </w:r>
          </w:p>
        </w:tc>
        <w:tc>
          <w:tcPr>
            <w:tcW w:w="21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Emerging Growth Company </w:t>
            </w:r>
          </w:p>
        </w:tc>
      </w:tr>
      <w:tr>
        <w:trPr/>
        <w:tc>
          <w:tcPr>
            <w:tcW w:w="1426" w:type="dxa"/>
            <w:tcBorders/>
            <w:vAlign w:val="center"/>
          </w:tcPr>
          <w:p>
            <w:pPr>
              <w:pStyle w:val="TableContents"/>
              <w:bidi w:val="0"/>
              <w:spacing w:before="0" w:after="0"/>
              <w:ind w:left="0" w:right="0" w:hanging="0"/>
              <w:jc w:val="center"/>
              <w:rPr/>
            </w:pPr>
            <w:r>
              <w:rPr/>
              <w:t>☐</w:t>
            </w:r>
          </w:p>
          <w:p>
            <w:pPr>
              <w:pStyle w:val="TableContents"/>
              <w:bidi w:val="0"/>
              <w:spacing w:before="0" w:after="240"/>
              <w:ind w:left="0" w:right="0" w:hanging="0"/>
              <w:jc w:val="center"/>
              <w:rPr/>
            </w:pPr>
            <w:r>
              <w:rPr/>
              <w:t>​</w: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81610" cy="175260"/>
                      <wp:effectExtent l="0" t="0" r="0" b="0"/>
                      <wp:wrapNone/>
                      <wp:docPr id="36" name="Frame3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81610" cy="175260"/>
                      <wp:effectExtent l="0" t="0" r="0" b="0"/>
                      <wp:wrapNone/>
                      <wp:docPr id="37" name="Frame3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81610" cy="175260"/>
                      <wp:effectExtent l="0" t="0" r="0" b="0"/>
                      <wp:wrapNone/>
                      <wp:docPr id="38" name="Frame3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9"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2176"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100"/>
        <w:ind w:left="0" w:right="0" w:firstLine="490"/>
        <w:jc w:val="both"/>
        <w:rPr>
          <w:rFonts w:ascii="Times New Roman;Times;serif" w:hAnsi="Times New Roman;Times;serif"/>
          <w:sz w:val="20"/>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100"/>
        <w:ind w:left="0" w:right="0" w:firstLine="490"/>
        <w:jc w:val="both"/>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firstLine="450"/>
        <w:jc w:val="both"/>
        <w:rPr>
          <w:rFonts w:ascii="Times New Roman;Times;serif" w:hAnsi="Times New Roman;Times;serif"/>
          <w:sz w:val="16"/>
        </w:rPr>
      </w:pPr>
      <w:r>
        <w:rPr>
          <w:rFonts w:ascii="Times New Roman;Times;serif" w:hAnsi="Times New Roman;Times;serif"/>
          <w:sz w:val="16"/>
        </w:rPr>
        <w:t>As of August 5, 2026, there were 12,081,333 shares, $0.001 par value per share, of Star Holdings common stock outstanding.</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5" w:name="TOC"/>
      <w:bookmarkStart w:id="56" w:name="_5e91e218_874c_4c09_b6c3_9a4f550b5198"/>
      <w:bookmarkEnd w:id="55"/>
      <w:bookmarkEnd w:id="56"/>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41"/>
        <w:gridCol w:w="8853"/>
        <w:gridCol w:w="511"/>
      </w:tblGrid>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bidi w:val="0"/>
              <w:spacing w:before="0" w:after="30"/>
              <w:ind w:left="0" w:right="0" w:hanging="0"/>
              <w:jc w:val="left"/>
              <w:rPr/>
            </w:pPr>
            <w:r>
              <w:rPr/>
              <w:t>​</w:t>
            </w:r>
          </w:p>
        </w:tc>
        <w:tc>
          <w:tcPr>
            <w:tcW w:w="8853" w:type="dxa"/>
            <w:tcBorders/>
            <w:vAlign w:val="center"/>
          </w:tcPr>
          <w:p>
            <w:pPr>
              <w:pStyle w:val="TableContents"/>
              <w:bidi w:val="0"/>
              <w:spacing w:before="0" w:after="30"/>
              <w:ind w:left="0" w:right="0" w:hanging="0"/>
              <w:jc w:val="left"/>
              <w:rPr/>
            </w:pPr>
            <w:r>
              <w:rPr/>
              <w:t>​</w:t>
            </w:r>
          </w:p>
        </w:tc>
        <w:tc>
          <w:tcPr>
            <w:tcW w:w="511" w:type="dxa"/>
            <w:tcBorders/>
            <w:vAlign w:val="center"/>
          </w:tcPr>
          <w:p>
            <w:pPr>
              <w:pStyle w:val="TableContents"/>
              <w:bidi w:val="0"/>
              <w:spacing w:before="0" w:after="30"/>
              <w:ind w:left="0" w:right="0" w:hanging="0"/>
              <w:jc w:val="right"/>
              <w:rPr>
                <w:rFonts w:ascii="Times New Roman;Times;serif" w:hAnsi="Times New Roman;Times;serif"/>
                <w:b/>
                <w:sz w:val="16"/>
              </w:rPr>
            </w:pPr>
            <w:r>
              <w:rPr>
                <w:rFonts w:ascii="Times New Roman;Times;serif" w:hAnsi="Times New Roman;Times;serif"/>
                <w:b/>
                <w:sz w:val="16"/>
              </w:rPr>
              <w:t>Page</w:t>
            </w:r>
          </w:p>
        </w:tc>
      </w:tr>
      <w:tr>
        <w:trPr/>
        <w:tc>
          <w:tcPr>
            <w:tcW w:w="841" w:type="dxa"/>
            <w:tcBorders/>
            <w:vAlign w:val="center"/>
          </w:tcPr>
          <w:p>
            <w:pPr>
              <w:pStyle w:val="TableContents"/>
              <w:bidi w:val="0"/>
              <w:spacing w:before="0" w:after="30"/>
              <w:ind w:left="0" w:right="0" w:hanging="0"/>
              <w:jc w:val="left"/>
              <w:rPr/>
            </w:pPr>
            <w:r>
              <w:rPr/>
              <w:t>​</w:t>
            </w:r>
          </w:p>
        </w:tc>
        <w:tc>
          <w:tcPr>
            <w:tcW w:w="8853" w:type="dxa"/>
            <w:tcBorders/>
            <w:vAlign w:val="center"/>
          </w:tcPr>
          <w:p>
            <w:pPr>
              <w:pStyle w:val="TableContents"/>
              <w:bidi w:val="0"/>
              <w:spacing w:before="0" w:after="30"/>
              <w:ind w:left="0" w:right="0" w:hanging="0"/>
              <w:jc w:val="left"/>
              <w:rPr/>
            </w:pPr>
            <w:r>
              <w:rPr/>
              <w:t>​</w:t>
            </w:r>
          </w:p>
        </w:tc>
        <w:tc>
          <w:tcPr>
            <w:tcW w:w="511" w:type="dxa"/>
            <w:tcBorders/>
            <w:vAlign w:val="center"/>
          </w:tcPr>
          <w:p>
            <w:pPr>
              <w:pStyle w:val="TableContents"/>
              <w:bidi w:val="0"/>
              <w:spacing w:before="0" w:after="30"/>
              <w:ind w:left="0" w:right="0" w:hanging="0"/>
              <w:jc w:val="right"/>
              <w:rPr/>
            </w:pPr>
            <w:r>
              <w:rPr/>
              <w:t>​</w:t>
            </w:r>
          </w:p>
        </w:tc>
      </w:tr>
      <w:tr>
        <w:trPr/>
        <w:tc>
          <w:tcPr>
            <w:tcW w:w="841" w:type="dxa"/>
            <w:tcBorders/>
            <w:vAlign w:val="center"/>
          </w:tcPr>
          <w:p>
            <w:pPr>
              <w:pStyle w:val="TableContents"/>
              <w:bidi w:val="0"/>
              <w:spacing w:before="0" w:after="30"/>
              <w:ind w:left="0" w:right="0" w:hanging="0"/>
              <w:jc w:val="left"/>
              <w:rPr/>
            </w:pPr>
            <w:hyperlink w:anchor="PARTI_822551">
              <w:r>
                <w:rPr>
                  <w:rStyle w:val="InternetLink"/>
                  <w:rFonts w:ascii="Times New Roman;Times;serif" w:hAnsi="Times New Roman;Times;serif"/>
                  <w:b/>
                  <w:i w:val="false"/>
                  <w:caps w:val="false"/>
                  <w:smallCaps w:val="false"/>
                  <w:sz w:val="20"/>
                </w:rPr>
                <w:t>PART I</w:t>
              </w:r>
            </w:hyperlink>
          </w:p>
        </w:tc>
        <w:tc>
          <w:tcPr>
            <w:tcW w:w="8853" w:type="dxa"/>
            <w:tcBorders/>
            <w:vAlign w:val="center"/>
          </w:tcPr>
          <w:p>
            <w:pPr>
              <w:pStyle w:val="TableContents"/>
              <w:bidi w:val="0"/>
              <w:spacing w:before="0" w:after="30"/>
              <w:ind w:left="0" w:right="0" w:hanging="0"/>
              <w:jc w:val="left"/>
              <w:rPr/>
            </w:pPr>
            <w:hyperlink w:anchor="CONSOLIDATEDFINANCIALINFORMATION_587821">
              <w:r>
                <w:rPr>
                  <w:rStyle w:val="InternetLink"/>
                  <w:rFonts w:ascii="Times New Roman;Times;serif" w:hAnsi="Times New Roman;Times;serif"/>
                  <w:b w:val="false"/>
                  <w:i w:val="false"/>
                  <w:caps w:val="false"/>
                  <w:smallCaps w:val="false"/>
                  <w:sz w:val="20"/>
                </w:rPr>
                <w:t>Consolidated Financial Information</w:t>
              </w:r>
            </w:hyperlink>
          </w:p>
        </w:tc>
        <w:tc>
          <w:tcPr>
            <w:tcW w:w="511" w:type="dxa"/>
            <w:tcBorders/>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bidi w:val="0"/>
              <w:spacing w:before="0" w:after="30"/>
              <w:ind w:left="0" w:right="0" w:hanging="0"/>
              <w:jc w:val="left"/>
              <w:rPr/>
            </w:pPr>
            <w:hyperlink w:anchor="Item1FinancialStatements_875203">
              <w:r>
                <w:rPr>
                  <w:rStyle w:val="InternetLink"/>
                  <w:rFonts w:ascii="Times New Roman;Times;serif" w:hAnsi="Times New Roman;Times;serif"/>
                  <w:b w:val="false"/>
                  <w:i w:val="false"/>
                  <w:caps w:val="false"/>
                  <w:smallCaps w:val="false"/>
                  <w:sz w:val="20"/>
                </w:rPr>
                <w:t>Item 1.</w:t>
              </w:r>
            </w:hyperlink>
          </w:p>
        </w:tc>
        <w:tc>
          <w:tcPr>
            <w:tcW w:w="8853" w:type="dxa"/>
            <w:tcBorders/>
            <w:vAlign w:val="center"/>
          </w:tcPr>
          <w:p>
            <w:pPr>
              <w:pStyle w:val="TableContents"/>
              <w:bidi w:val="0"/>
              <w:spacing w:before="0" w:after="30"/>
              <w:ind w:left="0" w:right="0" w:hanging="0"/>
              <w:jc w:val="left"/>
              <w:rPr/>
            </w:pPr>
            <w:hyperlink w:anchor="Item1FinancialStatements_875203">
              <w:r>
                <w:rPr>
                  <w:rStyle w:val="InternetLink"/>
                  <w:rFonts w:ascii="Times New Roman;Times;serif" w:hAnsi="Times New Roman;Times;serif"/>
                  <w:b w:val="false"/>
                  <w:i w:val="false"/>
                  <w:caps w:val="false"/>
                  <w:smallCaps w:val="false"/>
                  <w:sz w:val="20"/>
                </w:rPr>
                <w:t>Financial Statements:</w:t>
              </w:r>
            </w:hyperlink>
          </w:p>
        </w:tc>
        <w:tc>
          <w:tcPr>
            <w:tcW w:w="511" w:type="dxa"/>
            <w:tcBorders/>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ConsolidatedBalanceSheets_435314">
              <w:r>
                <w:rPr>
                  <w:rStyle w:val="InternetLink"/>
                  <w:rFonts w:ascii="Times New Roman;Times;serif" w:hAnsi="Times New Roman;Times;serif"/>
                  <w:b w:val="false"/>
                  <w:i w:val="false"/>
                  <w:caps w:val="false"/>
                  <w:smallCaps w:val="false"/>
                  <w:sz w:val="20"/>
                </w:rPr>
                <w:t>Consolidated Balance Sheets (unaudited) as of June 30, 2026 and December 31, 2025</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StatementsofOperations_593879">
              <w:r>
                <w:rPr>
                  <w:rStyle w:val="InternetLink"/>
                  <w:rFonts w:ascii="Times New Roman;Times;serif" w:hAnsi="Times New Roman;Times;serif"/>
                  <w:b w:val="false"/>
                  <w:i w:val="false"/>
                  <w:caps w:val="false"/>
                  <w:smallCaps w:val="false"/>
                  <w:sz w:val="20"/>
                </w:rPr>
                <w:t>Consolidated Statements of Operations (unaudited)—For the three and six months ended June 30, 2026 and 2025</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StatementsofComprehensiveIncomeLoss_4233">
              <w:r>
                <w:rPr>
                  <w:rStyle w:val="InternetLink"/>
                  <w:rFonts w:ascii="Times New Roman;Times;serif" w:hAnsi="Times New Roman;Times;serif"/>
                  <w:b w:val="false"/>
                  <w:i w:val="false"/>
                  <w:caps w:val="false"/>
                  <w:smallCaps w:val="false"/>
                  <w:sz w:val="20"/>
                </w:rPr>
                <w:t>Consolidated Statements of Comprehensive Income (Loss) (unaudited)—For the three and six months ended June 30, 2026 and 2025</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StatementsofChangesinEquity_733423">
              <w:r>
                <w:rPr>
                  <w:rStyle w:val="InternetLink"/>
                  <w:rFonts w:ascii="Times New Roman;Times;serif" w:hAnsi="Times New Roman;Times;serif"/>
                  <w:b w:val="false"/>
                  <w:i w:val="false"/>
                  <w:caps w:val="false"/>
                  <w:smallCaps w:val="false"/>
                  <w:sz w:val="20"/>
                </w:rPr>
                <w:t>Consolidated Statements of Changes in Equity (unaudited)—For the three and six months ended June 30, 2026 and 2025</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CashFlows_705700">
              <w:r>
                <w:rPr>
                  <w:rStyle w:val="InternetLink"/>
                  <w:rFonts w:ascii="Times New Roman;Times;serif" w:hAnsi="Times New Roman;Times;serif"/>
                  <w:b w:val="false"/>
                  <w:i w:val="false"/>
                  <w:caps w:val="false"/>
                  <w:smallCaps w:val="false"/>
                  <w:sz w:val="20"/>
                </w:rPr>
                <w:t>Consolidated Statements of Cash Flows (unaudited)—For the six months ended June 30, 2026 and 2025</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NotestoConsolidatedFinancialStatemen">
              <w:r>
                <w:rPr>
                  <w:rStyle w:val="InternetLink"/>
                  <w:rFonts w:ascii="Times New Roman;Times;serif" w:hAnsi="Times New Roman;Times;serif"/>
                  <w:b w:val="false"/>
                  <w:i w:val="false"/>
                  <w:caps w:val="false"/>
                  <w:smallCaps w:val="false"/>
                  <w:sz w:val="20"/>
                </w:rPr>
                <w:t>Notes to Consolidated Financial Statements (unaudited)</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41" w:type="dxa"/>
            <w:tcBorders/>
            <w:vAlign w:val="center"/>
          </w:tcPr>
          <w:p>
            <w:pPr>
              <w:pStyle w:val="TableContents"/>
              <w:bidi w:val="0"/>
              <w:spacing w:before="0" w:after="3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53" w:type="dxa"/>
            <w:tcBorders/>
            <w:vAlign w:val="center"/>
          </w:tcPr>
          <w:p>
            <w:pPr>
              <w:pStyle w:val="TableContents"/>
              <w:bidi w:val="0"/>
              <w:spacing w:before="0" w:after="3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841" w:type="dxa"/>
            <w:tcBorders/>
            <w:vAlign w:val="center"/>
          </w:tcPr>
          <w:p>
            <w:pPr>
              <w:pStyle w:val="TableContents"/>
              <w:bidi w:val="0"/>
              <w:spacing w:before="0" w:after="3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53" w:type="dxa"/>
            <w:tcBorders/>
            <w:vAlign w:val="center"/>
          </w:tcPr>
          <w:p>
            <w:pPr>
              <w:pStyle w:val="TableContents"/>
              <w:bidi w:val="0"/>
              <w:spacing w:before="0" w:after="3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41" w:type="dxa"/>
            <w:tcBorders/>
            <w:vAlign w:val="center"/>
          </w:tcPr>
          <w:p>
            <w:pPr>
              <w:pStyle w:val="TableContents"/>
              <w:bidi w:val="0"/>
              <w:spacing w:before="0" w:after="30"/>
              <w:ind w:left="0" w:right="0" w:hanging="0"/>
              <w:jc w:val="left"/>
              <w:rPr/>
            </w:pPr>
            <w:hyperlink w:anchor="Item4ControlsandProcedures_830841">
              <w:r>
                <w:rPr>
                  <w:rStyle w:val="InternetLink"/>
                  <w:rFonts w:ascii="Times New Roman;Times;serif" w:hAnsi="Times New Roman;Times;serif"/>
                  <w:b w:val="false"/>
                  <w:i w:val="false"/>
                  <w:caps w:val="false"/>
                  <w:smallCaps w:val="false"/>
                  <w:sz w:val="20"/>
                </w:rPr>
                <w:t>Item 4.</w:t>
              </w:r>
            </w:hyperlink>
          </w:p>
        </w:tc>
        <w:tc>
          <w:tcPr>
            <w:tcW w:w="8853" w:type="dxa"/>
            <w:tcBorders/>
            <w:vAlign w:val="center"/>
          </w:tcPr>
          <w:p>
            <w:pPr>
              <w:pStyle w:val="TableContents"/>
              <w:bidi w:val="0"/>
              <w:spacing w:before="0" w:after="30"/>
              <w:ind w:left="0" w:right="0" w:hanging="0"/>
              <w:jc w:val="left"/>
              <w:rPr/>
            </w:pPr>
            <w:hyperlink w:anchor="Item4ControlsandProcedures_830841">
              <w:r>
                <w:rPr>
                  <w:rStyle w:val="InternetLink"/>
                  <w:rFonts w:ascii="Times New Roman;Times;serif" w:hAnsi="Times New Roman;Times;serif"/>
                  <w:b w:val="false"/>
                  <w:i w:val="false"/>
                  <w:caps w:val="false"/>
                  <w:smallCaps w:val="false"/>
                  <w:sz w:val="20"/>
                </w:rPr>
                <w:t>Controls and Procedures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41" w:type="dxa"/>
            <w:tcBorders/>
            <w:vAlign w:val="center"/>
          </w:tcPr>
          <w:p>
            <w:pPr>
              <w:pStyle w:val="TableContents"/>
              <w:bidi w:val="0"/>
              <w:spacing w:before="0" w:after="30"/>
              <w:ind w:left="0" w:right="0" w:hanging="0"/>
              <w:jc w:val="left"/>
              <w:rPr/>
            </w:pPr>
            <w:hyperlink w:anchor="PARTIIOTHERINFORMATION_183511">
              <w:r>
                <w:rPr>
                  <w:rStyle w:val="InternetLink"/>
                  <w:rFonts w:ascii="Times New Roman;Times;serif" w:hAnsi="Times New Roman;Times;serif"/>
                  <w:b/>
                  <w:i w:val="false"/>
                  <w:caps w:val="false"/>
                  <w:smallCaps w:val="false"/>
                  <w:sz w:val="20"/>
                </w:rPr>
                <w:t>PART II</w:t>
              </w:r>
            </w:hyperlink>
          </w:p>
        </w:tc>
        <w:tc>
          <w:tcPr>
            <w:tcW w:w="8853" w:type="dxa"/>
            <w:tcBorders/>
            <w:vAlign w:val="center"/>
          </w:tcPr>
          <w:p>
            <w:pPr>
              <w:pStyle w:val="TableContents"/>
              <w:bidi w:val="0"/>
              <w:spacing w:before="0" w:after="30"/>
              <w:ind w:left="0" w:right="0" w:hanging="0"/>
              <w:jc w:val="left"/>
              <w:rPr/>
            </w:pPr>
            <w:hyperlink w:anchor="PARTIIOTHERINFORMATION_183511">
              <w:r>
                <w:rPr>
                  <w:rStyle w:val="InternetLink"/>
                  <w:rFonts w:ascii="Times New Roman;Times;serif" w:hAnsi="Times New Roman;Times;serif"/>
                  <w:b w:val="false"/>
                  <w:i w:val="false"/>
                  <w:caps w:val="false"/>
                  <w:smallCaps w:val="false"/>
                  <w:sz w:val="20"/>
                </w:rPr>
                <w:t>Other Information</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41" w:type="dxa"/>
            <w:tcBorders/>
            <w:vAlign w:val="center"/>
          </w:tcPr>
          <w:p>
            <w:pPr>
              <w:pStyle w:val="TableContents"/>
              <w:bidi w:val="0"/>
              <w:spacing w:before="0" w:after="30"/>
              <w:ind w:left="0" w:right="0" w:hanging="0"/>
              <w:jc w:val="left"/>
              <w:rPr/>
            </w:pPr>
            <w:hyperlink w:anchor="Item1LegalProceedings_82121">
              <w:r>
                <w:rPr>
                  <w:rStyle w:val="InternetLink"/>
                  <w:rFonts w:ascii="Times New Roman;Times;serif" w:hAnsi="Times New Roman;Times;serif"/>
                  <w:b w:val="false"/>
                  <w:i w:val="false"/>
                  <w:caps w:val="false"/>
                  <w:smallCaps w:val="false"/>
                  <w:sz w:val="20"/>
                </w:rPr>
                <w:t>Item 1.</w:t>
              </w:r>
            </w:hyperlink>
          </w:p>
        </w:tc>
        <w:tc>
          <w:tcPr>
            <w:tcW w:w="8853" w:type="dxa"/>
            <w:tcBorders/>
            <w:vAlign w:val="center"/>
          </w:tcPr>
          <w:p>
            <w:pPr>
              <w:pStyle w:val="TableContents"/>
              <w:bidi w:val="0"/>
              <w:spacing w:before="0" w:after="30"/>
              <w:ind w:left="0" w:right="0" w:hanging="0"/>
              <w:jc w:val="left"/>
              <w:rPr/>
            </w:pPr>
            <w:hyperlink w:anchor="Item1LegalProceedings_82121">
              <w:r>
                <w:rPr>
                  <w:rStyle w:val="InternetLink"/>
                  <w:rFonts w:ascii="Times New Roman;Times;serif" w:hAnsi="Times New Roman;Times;serif"/>
                  <w:b w:val="false"/>
                  <w:i w:val="false"/>
                  <w:caps w:val="false"/>
                  <w:smallCaps w:val="false"/>
                  <w:sz w:val="20"/>
                </w:rPr>
                <w:t>Legal Proceedings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41" w:type="dxa"/>
            <w:tcBorders/>
            <w:vAlign w:val="center"/>
          </w:tcPr>
          <w:p>
            <w:pPr>
              <w:pStyle w:val="TableContents"/>
              <w:bidi w:val="0"/>
              <w:spacing w:before="0" w:after="30"/>
              <w:ind w:left="0" w:right="0" w:hanging="0"/>
              <w:jc w:val="left"/>
              <w:rPr/>
            </w:pPr>
            <w:hyperlink w:anchor="Item1ARiskFactors_695411">
              <w:r>
                <w:rPr>
                  <w:rStyle w:val="InternetLink"/>
                  <w:rFonts w:ascii="Times New Roman;Times;serif" w:hAnsi="Times New Roman;Times;serif"/>
                  <w:b w:val="false"/>
                  <w:i w:val="false"/>
                  <w:caps w:val="false"/>
                  <w:smallCaps w:val="false"/>
                  <w:sz w:val="20"/>
                </w:rPr>
                <w:t>Item 1A.</w:t>
              </w:r>
            </w:hyperlink>
          </w:p>
        </w:tc>
        <w:tc>
          <w:tcPr>
            <w:tcW w:w="8853" w:type="dxa"/>
            <w:tcBorders/>
            <w:vAlign w:val="center"/>
          </w:tcPr>
          <w:p>
            <w:pPr>
              <w:pStyle w:val="TableContents"/>
              <w:bidi w:val="0"/>
              <w:spacing w:before="0" w:after="30"/>
              <w:ind w:left="0" w:right="0" w:hanging="0"/>
              <w:jc w:val="left"/>
              <w:rPr/>
            </w:pPr>
            <w:hyperlink w:anchor="Item1ARiskFactors_695411">
              <w:r>
                <w:rPr>
                  <w:rStyle w:val="InternetLink"/>
                  <w:rFonts w:ascii="Times New Roman;Times;serif" w:hAnsi="Times New Roman;Times;serif"/>
                  <w:b w:val="false"/>
                  <w:i w:val="false"/>
                  <w:caps w:val="false"/>
                  <w:smallCaps w:val="false"/>
                  <w:sz w:val="20"/>
                </w:rPr>
                <w:t>Risk Factors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41" w:type="dxa"/>
            <w:tcBorders/>
            <w:vAlign w:val="center"/>
          </w:tcPr>
          <w:p>
            <w:pPr>
              <w:pStyle w:val="TableContents"/>
              <w:bidi w:val="0"/>
              <w:spacing w:before="0" w:after="3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53" w:type="dxa"/>
            <w:tcBorders/>
            <w:vAlign w:val="center"/>
          </w:tcPr>
          <w:p>
            <w:pPr>
              <w:pStyle w:val="TableContents"/>
              <w:bidi w:val="0"/>
              <w:spacing w:before="0" w:after="3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41" w:type="dxa"/>
            <w:tcBorders/>
            <w:vAlign w:val="center"/>
          </w:tcPr>
          <w:p>
            <w:pPr>
              <w:pStyle w:val="TableContents"/>
              <w:bidi w:val="0"/>
              <w:spacing w:before="0" w:after="30"/>
              <w:ind w:left="0" w:right="0" w:hanging="0"/>
              <w:jc w:val="left"/>
              <w:rPr/>
            </w:pPr>
            <w:hyperlink w:anchor="Item3DefaultsUponSeniorSecurities_384293">
              <w:r>
                <w:rPr>
                  <w:rStyle w:val="InternetLink"/>
                  <w:rFonts w:ascii="Times New Roman;Times;serif" w:hAnsi="Times New Roman;Times;serif"/>
                  <w:b w:val="false"/>
                  <w:i w:val="false"/>
                  <w:caps w:val="false"/>
                  <w:smallCaps w:val="false"/>
                  <w:sz w:val="20"/>
                </w:rPr>
                <w:t>Item 3.</w:t>
              </w:r>
            </w:hyperlink>
          </w:p>
        </w:tc>
        <w:tc>
          <w:tcPr>
            <w:tcW w:w="8853" w:type="dxa"/>
            <w:tcBorders/>
            <w:vAlign w:val="center"/>
          </w:tcPr>
          <w:p>
            <w:pPr>
              <w:pStyle w:val="TableContents"/>
              <w:bidi w:val="0"/>
              <w:spacing w:before="0" w:after="30"/>
              <w:ind w:left="0" w:right="0" w:hanging="0"/>
              <w:jc w:val="left"/>
              <w:rPr/>
            </w:pPr>
            <w:hyperlink w:anchor="Item3DefaultsUponSeniorSecurities_384293">
              <w:r>
                <w:rPr>
                  <w:rStyle w:val="InternetLink"/>
                  <w:rFonts w:ascii="Times New Roman;Times;serif" w:hAnsi="Times New Roman;Times;serif"/>
                  <w:b w:val="false"/>
                  <w:i w:val="false"/>
                  <w:caps w:val="false"/>
                  <w:smallCaps w:val="false"/>
                  <w:sz w:val="20"/>
                </w:rPr>
                <w:t>Defaults Upon Senior Securities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41" w:type="dxa"/>
            <w:tcBorders/>
            <w:vAlign w:val="center"/>
          </w:tcPr>
          <w:p>
            <w:pPr>
              <w:pStyle w:val="TableContents"/>
              <w:bidi w:val="0"/>
              <w:spacing w:before="0" w:after="30"/>
              <w:ind w:left="0" w:right="0" w:hanging="0"/>
              <w:jc w:val="left"/>
              <w:rPr/>
            </w:pPr>
            <w:hyperlink w:anchor="Item4MineSafetyDisclosures_914406">
              <w:r>
                <w:rPr>
                  <w:rStyle w:val="InternetLink"/>
                  <w:rFonts w:ascii="Times New Roman;Times;serif" w:hAnsi="Times New Roman;Times;serif"/>
                  <w:b w:val="false"/>
                  <w:i w:val="false"/>
                  <w:caps w:val="false"/>
                  <w:smallCaps w:val="false"/>
                  <w:sz w:val="20"/>
                </w:rPr>
                <w:t>Item 4.</w:t>
              </w:r>
            </w:hyperlink>
          </w:p>
        </w:tc>
        <w:tc>
          <w:tcPr>
            <w:tcW w:w="8853" w:type="dxa"/>
            <w:tcBorders/>
            <w:vAlign w:val="center"/>
          </w:tcPr>
          <w:p>
            <w:pPr>
              <w:pStyle w:val="TableContents"/>
              <w:bidi w:val="0"/>
              <w:spacing w:before="0" w:after="30"/>
              <w:ind w:left="0" w:right="0" w:hanging="0"/>
              <w:jc w:val="left"/>
              <w:rPr/>
            </w:pPr>
            <w:hyperlink w:anchor="Item4MineSafetyDisclosures_914406">
              <w:r>
                <w:rPr>
                  <w:rStyle w:val="InternetLink"/>
                  <w:rFonts w:ascii="Times New Roman;Times;serif" w:hAnsi="Times New Roman;Times;serif"/>
                  <w:b w:val="false"/>
                  <w:i w:val="false"/>
                  <w:caps w:val="false"/>
                  <w:smallCaps w:val="false"/>
                  <w:sz w:val="20"/>
                </w:rPr>
                <w:t>Mine Safety Disclosures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41" w:type="dxa"/>
            <w:tcBorders/>
            <w:vAlign w:val="center"/>
          </w:tcPr>
          <w:p>
            <w:pPr>
              <w:pStyle w:val="TableContents"/>
              <w:bidi w:val="0"/>
              <w:spacing w:before="0" w:after="30"/>
              <w:ind w:left="0" w:right="0" w:hanging="0"/>
              <w:jc w:val="left"/>
              <w:rPr/>
            </w:pPr>
            <w:hyperlink w:anchor="Item5OtherInformation_66088">
              <w:r>
                <w:rPr>
                  <w:rStyle w:val="InternetLink"/>
                  <w:rFonts w:ascii="Times New Roman;Times;serif" w:hAnsi="Times New Roman;Times;serif"/>
                  <w:b w:val="false"/>
                  <w:i w:val="false"/>
                  <w:caps w:val="false"/>
                  <w:smallCaps w:val="false"/>
                  <w:sz w:val="20"/>
                </w:rPr>
                <w:t>Item 5.</w:t>
              </w:r>
            </w:hyperlink>
          </w:p>
        </w:tc>
        <w:tc>
          <w:tcPr>
            <w:tcW w:w="8853" w:type="dxa"/>
            <w:tcBorders/>
            <w:vAlign w:val="center"/>
          </w:tcPr>
          <w:p>
            <w:pPr>
              <w:pStyle w:val="TableContents"/>
              <w:bidi w:val="0"/>
              <w:spacing w:before="0" w:after="30"/>
              <w:ind w:left="0" w:right="0" w:hanging="0"/>
              <w:jc w:val="left"/>
              <w:rPr/>
            </w:pPr>
            <w:hyperlink w:anchor="Item5OtherInformation_66088">
              <w:r>
                <w:rPr>
                  <w:rStyle w:val="InternetLink"/>
                  <w:rFonts w:ascii="Times New Roman;Times;serif" w:hAnsi="Times New Roman;Times;serif"/>
                  <w:b w:val="false"/>
                  <w:i w:val="false"/>
                  <w:caps w:val="false"/>
                  <w:smallCaps w:val="false"/>
                  <w:sz w:val="20"/>
                </w:rPr>
                <w:t>Other Information</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41" w:type="dxa"/>
            <w:tcBorders/>
            <w:vAlign w:val="center"/>
          </w:tcPr>
          <w:p>
            <w:pPr>
              <w:pStyle w:val="TableContents"/>
              <w:bidi w:val="0"/>
              <w:spacing w:before="0" w:after="30"/>
              <w:ind w:left="0" w:right="0" w:hanging="0"/>
              <w:jc w:val="left"/>
              <w:rPr/>
            </w:pPr>
            <w:hyperlink w:anchor="Item6Exhibits_269658">
              <w:r>
                <w:rPr>
                  <w:rStyle w:val="InternetLink"/>
                  <w:rFonts w:ascii="Times New Roman;Times;serif" w:hAnsi="Times New Roman;Times;serif"/>
                  <w:b w:val="false"/>
                  <w:i w:val="false"/>
                  <w:caps w:val="false"/>
                  <w:smallCaps w:val="false"/>
                  <w:sz w:val="20"/>
                </w:rPr>
                <w:t>Item 6.</w:t>
              </w:r>
            </w:hyperlink>
          </w:p>
        </w:tc>
        <w:tc>
          <w:tcPr>
            <w:tcW w:w="8853" w:type="dxa"/>
            <w:tcBorders/>
            <w:vAlign w:val="center"/>
          </w:tcPr>
          <w:p>
            <w:pPr>
              <w:pStyle w:val="TableContents"/>
              <w:bidi w:val="0"/>
              <w:spacing w:before="0" w:after="30"/>
              <w:ind w:left="0" w:right="0" w:hanging="0"/>
              <w:jc w:val="left"/>
              <w:rPr/>
            </w:pPr>
            <w:hyperlink w:anchor="Item6Exhibits_269658">
              <w:r>
                <w:rPr>
                  <w:rStyle w:val="InternetLink"/>
                  <w:rFonts w:ascii="Times New Roman;Times;serif" w:hAnsi="Times New Roman;Times;serif"/>
                  <w:b w:val="false"/>
                  <w:i w:val="false"/>
                  <w:caps w:val="false"/>
                  <w:smallCaps w:val="false"/>
                  <w:sz w:val="20"/>
                </w:rPr>
                <w:t>Exhibits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9694" w:type="dxa"/>
            <w:gridSpan w:val="2"/>
            <w:tcBorders/>
            <w:vAlign w:val="center"/>
          </w:tcPr>
          <w:p>
            <w:pPr>
              <w:pStyle w:val="TableContents"/>
              <w:bidi w:val="0"/>
              <w:spacing w:before="0" w:after="30"/>
              <w:ind w:left="0" w:right="0" w:hanging="0"/>
              <w:jc w:val="left"/>
              <w:rPr/>
            </w:pPr>
            <w:hyperlink w:anchor="SIGNATURES_522488">
              <w:r>
                <w:rPr>
                  <w:rStyle w:val="InternetLink"/>
                  <w:rFonts w:ascii="Times New Roman;Times;serif" w:hAnsi="Times New Roman;Times;serif"/>
                  <w:b/>
                  <w:i w:val="false"/>
                  <w:caps w:val="false"/>
                  <w:smallCaps w:val="false"/>
                  <w:sz w:val="20"/>
                </w:rPr>
                <w:t>SIGNATURES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bookmarkStart w:id="57" w:name="CONSOLIDATEDFINANCIALINFORMATION_587821"/>
      <w:bookmarkStart w:id="58" w:name="PARTI_822551"/>
      <w:bookmarkStart w:id="59" w:name="_ee44d867_db4a_448a_9d9b_a9a12774dee3"/>
      <w:bookmarkEnd w:id="57"/>
      <w:bookmarkEnd w:id="58"/>
      <w:bookmarkEnd w:id="59"/>
      <w:r>
        <w:rPr>
          <w:rFonts w:ascii="Times New Roman;Times;serif" w:hAnsi="Times New Roman;Times;serif"/>
          <w:b/>
          <w:sz w:val="20"/>
        </w:rPr>
        <w:t>PART I. CONSOLIDATED FINANCIAL INFORMATION</w:t>
      </w:r>
    </w:p>
    <w:p>
      <w:pPr>
        <w:pStyle w:val="TextBody"/>
        <w:bidi w:val="0"/>
        <w:spacing w:before="0" w:after="0"/>
        <w:ind w:left="0" w:right="0" w:hanging="0"/>
        <w:jc w:val="left"/>
        <w:rPr>
          <w:rFonts w:ascii="Times New Roman;Times;serif" w:hAnsi="Times New Roman;Times;serif"/>
          <w:b/>
          <w:sz w:val="20"/>
        </w:rPr>
      </w:pPr>
      <w:bookmarkStart w:id="60" w:name="Item1FinancialStatements_875203"/>
      <w:bookmarkEnd w:id="60"/>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Star Holdings</w:t>
      </w:r>
    </w:p>
    <w:p>
      <w:pPr>
        <w:pStyle w:val="TextBody"/>
        <w:bidi w:val="0"/>
        <w:spacing w:before="0" w:after="0"/>
        <w:ind w:left="0" w:right="0" w:hanging="0"/>
        <w:jc w:val="center"/>
        <w:rPr>
          <w:rFonts w:ascii="Times New Roman;Times;serif" w:hAnsi="Times New Roman;Times;serif"/>
          <w:b/>
          <w:sz w:val="20"/>
        </w:rPr>
      </w:pPr>
      <w:bookmarkStart w:id="61" w:name="ConsolidatedBalanceSheets_435314"/>
      <w:bookmarkEnd w:id="61"/>
      <w:r>
        <w:rPr>
          <w:rFonts w:ascii="Times New Roman;Times;serif" w:hAnsi="Times New Roman;Times;serif"/>
          <w:b/>
          <w:sz w:val="20"/>
        </w:rPr>
        <w:t>Consolidated Balance Sheets</w:t>
      </w:r>
    </w:p>
    <w:p>
      <w:pPr>
        <w:pStyle w:val="TextBody"/>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(In thousands, except per share data)</w:t>
      </w:r>
      <w:r>
        <w:rPr>
          <w:rFonts w:ascii="Times New Roman;Times;serif" w:hAnsi="Times New Roman;Times;serif"/>
          <w:b/>
          <w:sz w:val="15"/>
        </w:rPr>
        <w:t>(1)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Normal"/>
        <w:bidi w:val="0"/>
        <w:spacing w:before="0" w:after="0"/>
        <w:jc w:val="left"/>
        <w:rPr>
          <w:sz w:val="4"/>
          <w:szCs w:val="4"/>
        </w:rPr>
      </w:pPr>
      <w:r>
        <w:rPr>
          <w:sz w:val="4"/>
          <w:szCs w:val="4"/>
        </w:rPr>
      </w:r>
      <w:bookmarkStart w:id="62" w:name="Tc_Xjq5H47vO0muSCv83XxjCg_32_5"/>
      <w:bookmarkStart w:id="63" w:name="Tc_3n62cGB8gki82W1B7PWkNw_32_2"/>
      <w:bookmarkStart w:id="64" w:name="Tc_TmODNIeJ-0mVM_MoNFyp4w_32_0"/>
      <w:bookmarkStart w:id="65" w:name="Tc_Qwoptdy_g0C_5pnq6U2Gtw_31_0"/>
      <w:bookmarkStart w:id="66" w:name="Tc_rDKY2BIqVEOu5x9bBe-JZA_30_0"/>
      <w:bookmarkStart w:id="67" w:name="Tc_44zJ8p4AWUqjL6HG2oaJug_29_0"/>
      <w:bookmarkStart w:id="68" w:name="Tc_18HKoVbtZkSKg0WMpbmNbA_28_0"/>
      <w:bookmarkStart w:id="69" w:name="Tc_g1azVuDjl06c8X8Y17Bf5w_27_0"/>
      <w:bookmarkStart w:id="70" w:name="Tc_3JzUPBOPQEu09Q3kzct66w_26_0"/>
      <w:bookmarkStart w:id="71" w:name="Tc_k8paGAFCmE-K5lqvdZxM0A_25_0"/>
      <w:bookmarkStart w:id="72" w:name="Tc_cg6ImauKzU28seI-7EuUTw_24_0"/>
      <w:bookmarkStart w:id="73" w:name="Tc_OJpE_OccS0StmRqsezpigA_23_0"/>
      <w:bookmarkStart w:id="74" w:name="Tc_hbEwOVRDPU-VPktZZtNXEw_22_0"/>
      <w:bookmarkStart w:id="75" w:name="Tc_QU5zJemAW0GgqnxRczYe7A_21_0"/>
      <w:bookmarkStart w:id="76" w:name="Tc_MdFjQqbhrEWjXtV4d3JQbw_20_0"/>
      <w:bookmarkStart w:id="77" w:name="Tc_Se6ayVBPZ0KNccjSQmW3EQ_19_5"/>
      <w:bookmarkStart w:id="78" w:name="Tc_w9A7624VY0OWyRmBmo4-FA_19_2"/>
      <w:bookmarkStart w:id="79" w:name="Tc_u6p7m3vBvEOTcXeW56FdDQ_19_0"/>
      <w:bookmarkStart w:id="80" w:name="Tc_GL6UhMcd-U6a2J6Z3qZv5Q_18_0"/>
      <w:bookmarkStart w:id="81" w:name="Tc_xOzafCzzPUmAPACuGMna9A_17_0"/>
      <w:bookmarkStart w:id="82" w:name="Tc_qE9GwEnXsEekUqJoHTmuUw_16_5"/>
      <w:bookmarkStart w:id="83" w:name="Tc__wq5ENukb0a6-dIX6vgtMg_16_2"/>
      <w:bookmarkStart w:id="84" w:name="Tc_Dv4-6jJaDk--63CGGGeFVA_16_0"/>
      <w:bookmarkStart w:id="85" w:name="Tc_D7847oVmXUGduobT8pq1-Q_15_0"/>
      <w:bookmarkStart w:id="86" w:name="Tc_FmPy2ZrCm0KY5T2zsLz0NA_14_0"/>
      <w:bookmarkStart w:id="87" w:name="Tc_-oCDU9IsDE2AzwMqOQapNw_13_0"/>
      <w:bookmarkStart w:id="88" w:name="Tc_8nyNSQxwdkSQXYoIJ0atCw_12_0"/>
      <w:bookmarkStart w:id="89" w:name="Tc_rOpoD2BIiUGU1nhfpt6gLA_11_0"/>
      <w:bookmarkStart w:id="90" w:name="Tc_R4RowCfFkkyOzQ8i8tkRLQ_10_0"/>
      <w:bookmarkStart w:id="91" w:name="Tc_0dHLoBzNl0CKsko69rKsdw_9_0"/>
      <w:bookmarkStart w:id="92" w:name="Tc_GkeMLbFOcEC25F2oveDTMw_8_0"/>
      <w:bookmarkStart w:id="93" w:name="Tc_g8anfU9CwEm6VXNL6PBmkQ_7_0"/>
      <w:bookmarkStart w:id="94" w:name="Tc_mhsFsbydtEaWQJDHSocEYg_6_5"/>
      <w:bookmarkStart w:id="95" w:name="Tc_H5MA8QoWOku0P-RLU7uaMQ_6_2"/>
      <w:bookmarkStart w:id="96" w:name="Tc_TOAPVbTHu0WsTk0DWI3b1Q_6_0"/>
      <w:bookmarkStart w:id="97" w:name="Tc_V0GCPGT8PEmi-_p8l3eiAQ_5_0"/>
      <w:bookmarkStart w:id="98" w:name="Tc_5v_FI5_dkUGsbGMI-UIwqw_4_0"/>
      <w:bookmarkStart w:id="99" w:name="Tc_n7vYPLh8ZkivMaN0q5BYmw_3_5"/>
      <w:bookmarkStart w:id="100" w:name="Tc_TBQGOzEU2EinynDWX_pGAQ_3_2"/>
      <w:bookmarkStart w:id="101" w:name="Tc_h6oG95fr0ECADy2EkPSJIQ_2_5"/>
      <w:bookmarkStart w:id="102" w:name="Tc_LC10X1VTeE2I5OY05Dy5yQ_2_2"/>
      <w:bookmarkStart w:id="103" w:name="Tc_uzUDTXWDRE-P-CpJ82HsgQ_1_2"/>
      <w:bookmarkStart w:id="104" w:name="_daf498bf_a6ae_40a6_a4a1_e348a1bea898"/>
      <w:bookmarkStart w:id="105" w:name="Tc_Xjq5H47vO0muSCv83XxjCg_32_5"/>
      <w:bookmarkStart w:id="106" w:name="Tc_3n62cGB8gki82W1B7PWkNw_32_2"/>
      <w:bookmarkStart w:id="107" w:name="Tc_TmODNIeJ-0mVM_MoNFyp4w_32_0"/>
      <w:bookmarkStart w:id="108" w:name="Tc_Qwoptdy_g0C_5pnq6U2Gtw_31_0"/>
      <w:bookmarkStart w:id="109" w:name="Tc_rDKY2BIqVEOu5x9bBe-JZA_30_0"/>
      <w:bookmarkStart w:id="110" w:name="Tc_44zJ8p4AWUqjL6HG2oaJug_29_0"/>
      <w:bookmarkStart w:id="111" w:name="Tc_18HKoVbtZkSKg0WMpbmNbA_28_0"/>
      <w:bookmarkStart w:id="112" w:name="Tc_g1azVuDjl06c8X8Y17Bf5w_27_0"/>
      <w:bookmarkStart w:id="113" w:name="Tc_3JzUPBOPQEu09Q3kzct66w_26_0"/>
      <w:bookmarkStart w:id="114" w:name="Tc_k8paGAFCmE-K5lqvdZxM0A_25_0"/>
      <w:bookmarkStart w:id="115" w:name="Tc_cg6ImauKzU28seI-7EuUTw_24_0"/>
      <w:bookmarkStart w:id="116" w:name="Tc_OJpE_OccS0StmRqsezpigA_23_0"/>
      <w:bookmarkStart w:id="117" w:name="Tc_hbEwOVRDPU-VPktZZtNXEw_22_0"/>
      <w:bookmarkStart w:id="118" w:name="Tc_QU5zJemAW0GgqnxRczYe7A_21_0"/>
      <w:bookmarkStart w:id="119" w:name="Tc_MdFjQqbhrEWjXtV4d3JQbw_20_0"/>
      <w:bookmarkStart w:id="120" w:name="Tc_Se6ayVBPZ0KNccjSQmW3EQ_19_5"/>
      <w:bookmarkStart w:id="121" w:name="Tc_w9A7624VY0OWyRmBmo4-FA_19_2"/>
      <w:bookmarkStart w:id="122" w:name="Tc_u6p7m3vBvEOTcXeW56FdDQ_19_0"/>
      <w:bookmarkStart w:id="123" w:name="Tc_GL6UhMcd-U6a2J6Z3qZv5Q_18_0"/>
      <w:bookmarkStart w:id="124" w:name="Tc_xOzafCzzPUmAPACuGMna9A_17_0"/>
      <w:bookmarkStart w:id="125" w:name="Tc_qE9GwEnXsEekUqJoHTmuUw_16_5"/>
      <w:bookmarkStart w:id="126" w:name="Tc__wq5ENukb0a6-dIX6vgtMg_16_2"/>
      <w:bookmarkStart w:id="127" w:name="Tc_Dv4-6jJaDk--63CGGGeFVA_16_0"/>
      <w:bookmarkStart w:id="128" w:name="Tc_D7847oVmXUGduobT8pq1-Q_15_0"/>
      <w:bookmarkStart w:id="129" w:name="Tc_FmPy2ZrCm0KY5T2zsLz0NA_14_0"/>
      <w:bookmarkStart w:id="130" w:name="Tc_-oCDU9IsDE2AzwMqOQapNw_13_0"/>
      <w:bookmarkStart w:id="131" w:name="Tc_8nyNSQxwdkSQXYoIJ0atCw_12_0"/>
      <w:bookmarkStart w:id="132" w:name="Tc_rOpoD2BIiUGU1nhfpt6gLA_11_0"/>
      <w:bookmarkStart w:id="133" w:name="Tc_R4RowCfFkkyOzQ8i8tkRLQ_10_0"/>
      <w:bookmarkStart w:id="134" w:name="Tc_0dHLoBzNl0CKsko69rKsdw_9_0"/>
      <w:bookmarkStart w:id="135" w:name="Tc_GkeMLbFOcEC25F2oveDTMw_8_0"/>
      <w:bookmarkStart w:id="136" w:name="Tc_g8anfU9CwEm6VXNL6PBmkQ_7_0"/>
      <w:bookmarkStart w:id="137" w:name="Tc_mhsFsbydtEaWQJDHSocEYg_6_5"/>
      <w:bookmarkStart w:id="138" w:name="Tc_H5MA8QoWOku0P-RLU7uaMQ_6_2"/>
      <w:bookmarkStart w:id="139" w:name="Tc_TOAPVbTHu0WsTk0DWI3b1Q_6_0"/>
      <w:bookmarkStart w:id="140" w:name="Tc_V0GCPGT8PEmi-_p8l3eiAQ_5_0"/>
      <w:bookmarkStart w:id="141" w:name="Tc_5v_FI5_dkUGsbGMI-UIwqw_4_0"/>
      <w:bookmarkStart w:id="142" w:name="Tc_n7vYPLh8ZkivMaN0q5BYmw_3_5"/>
      <w:bookmarkStart w:id="143" w:name="Tc_TBQGOzEU2EinynDWX_pGAQ_3_2"/>
      <w:bookmarkStart w:id="144" w:name="Tc_h6oG95fr0ECADy2EkPSJIQ_2_5"/>
      <w:bookmarkStart w:id="145" w:name="Tc_LC10X1VTeE2I5OY05Dy5yQ_2_2"/>
      <w:bookmarkStart w:id="146" w:name="Tc_uzUDTXWDRE-P-CpJ82HsgQ_1_2"/>
      <w:bookmarkStart w:id="147" w:name="_daf498bf_a6ae_40a6_a4a1_e348a1bea89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tbl>
      <w:tblPr>
        <w:tblW w:w="10205" w:type="dxa"/>
        <w:jc w:val="left"/>
        <w:tblInd w:w="0" w:type="dxa"/>
        <w:tblLayout w:type="fixed"/>
        <w:tblCellMar>
          <w:top w:w="0" w:type="dxa"/>
          <w:left w:w="0" w:type="dxa"/>
          <w:bottom w:w="0" w:type="dxa"/>
          <w:right w:w="0" w:type="dxa"/>
        </w:tblCellMar>
      </w:tblPr>
      <w:tblGrid>
        <w:gridCol w:w="7306"/>
        <w:gridCol w:w="346"/>
        <w:gridCol w:w="211"/>
        <w:gridCol w:w="869"/>
        <w:gridCol w:w="346"/>
        <w:gridCol w:w="211"/>
        <w:gridCol w:w="916"/>
      </w:tblGrid>
      <w:tr>
        <w:trPr/>
        <w:tc>
          <w:tcPr>
            <w:tcW w:w="7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639310" cy="175260"/>
                      <wp:effectExtent l="0" t="0" r="0" b="0"/>
                      <wp:wrapNone/>
                      <wp:docPr id="40" name="Frame40"/>
                      <a:graphic xmlns:a="http://schemas.openxmlformats.org/drawingml/2006/main">
                        <a:graphicData uri="http://schemas.microsoft.com/office/word/2010/wordprocessingShape">
                          <wps:wsp>
                            <wps:cNvSpPr txBox="1"/>
                            <wps:spPr>
                              <a:xfrm>
                                <a:off x="0" y="0"/>
                                <a:ext cx="463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2"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51815" cy="175260"/>
                      <wp:effectExtent l="0" t="0" r="0" b="0"/>
                      <wp:wrapNone/>
                      <wp:docPr id="43" name="Frame43"/>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81660" cy="175260"/>
                      <wp:effectExtent l="0" t="0" r="0" b="0"/>
                      <wp:wrapNone/>
                      <wp:docPr id="46" name="Frame4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r>
      <w:tr>
        <w:trPr/>
        <w:tc>
          <w:tcPr>
            <w:tcW w:w="73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3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30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  ​</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  ​</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at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179,062</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(29,713)</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149,349</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and development,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112,836</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receivable and other lending investments, net ($503 and $578 of allowances as of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44,095</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212,306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185,125</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50,078</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and operating lease income receivable,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operating lease income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expenses and other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26,774</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508,221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570,197</w:t>
            </w:r>
          </w:p>
        </w:tc>
      </w:tr>
      <w:tr>
        <w:trPr/>
        <w:tc>
          <w:tcPr>
            <w:tcW w:w="7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r>
      <w:tr>
        <w:trPr/>
        <w:tc>
          <w:tcPr>
            <w:tcW w:w="73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Accounts payable, accrued expenses and other liabilities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35,610</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obligations,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268,721</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225,242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304,331</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(refer to Note 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Holdings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$0.001 par value, 200,000 shares authorized, 12,081 and 12,318 shares issued and outstanding as of June 30,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597,625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599,623</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(316,254)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(347,445)</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Holdings shareholders'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281,718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251,766</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14,100</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282,979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265,866</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508,221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570,197</w:t>
            </w:r>
          </w:p>
        </w:tc>
      </w:tr>
    </w:tbl>
    <w:p>
      <w:pPr>
        <w:pStyle w:val="Normal"/>
        <w:bidi w:val="0"/>
        <w:spacing w:before="0" w:after="0"/>
        <w:jc w:val="left"/>
        <w:rPr>
          <w:sz w:val="4"/>
          <w:szCs w:val="4"/>
        </w:rPr>
      </w:pPr>
      <w:r>
        <w:rPr>
          <w:sz w:val="4"/>
          <w:szCs w:val="4"/>
        </w:rPr>
      </w:r>
      <w:bookmarkStart w:id="148" w:name="_044f8ee3_17b7_45f7_852d_248f8a2612f4"/>
      <w:bookmarkStart w:id="149" w:name="_044f8ee3_17b7_45f7_852d_248f8a2612f4"/>
      <w:bookmarkEnd w:id="149"/>
    </w:p>
    <w:tbl>
      <w:tblPr>
        <w:tblW w:w="6887" w:type="dxa"/>
        <w:jc w:val="left"/>
        <w:tblInd w:w="0" w:type="dxa"/>
        <w:tblLayout w:type="fixed"/>
        <w:tblCellMar>
          <w:top w:w="0" w:type="dxa"/>
          <w:left w:w="0" w:type="dxa"/>
          <w:bottom w:w="0" w:type="dxa"/>
          <w:right w:w="0" w:type="dxa"/>
        </w:tblCellMar>
      </w:tblPr>
      <w:tblGrid>
        <w:gridCol w:w="331"/>
        <w:gridCol w:w="655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6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Refer to Note 2 for details on the Company’s consolidated variable interest entities (“VIEs”).</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2026 and December 31, 2025, includes $3.4</w:t>
            </w:r>
            <w:r>
              <w:rPr>
                <w:caps w:val="false"/>
                <w:smallCaps w:val="false"/>
              </w:rPr>
              <w:t xml:space="preserve"> </w:t>
            </w:r>
            <w:r>
              <w:rPr>
                <w:rFonts w:ascii="Times New Roman;Times;serif" w:hAnsi="Times New Roman;Times;serif"/>
                <w:b w:val="false"/>
                <w:i w:val="false"/>
                <w:caps w:val="false"/>
                <w:smallCaps w:val="false"/>
                <w:sz w:val="16"/>
              </w:rPr>
              <w:t>million and $3.6</w:t>
            </w:r>
            <w:r>
              <w:rPr>
                <w:caps w:val="false"/>
                <w:smallCaps w:val="false"/>
              </w:rPr>
              <w:t xml:space="preserve"> </w:t>
            </w:r>
            <w:r>
              <w:rPr>
                <w:rFonts w:ascii="Times New Roman;Times;serif" w:hAnsi="Times New Roman;Times;serif"/>
                <w:b w:val="false"/>
                <w:i w:val="false"/>
                <w:caps w:val="false"/>
                <w:smallCaps w:val="false"/>
                <w:sz w:val="16"/>
              </w:rPr>
              <w:t>million, respectively, of management fees and other payables due to Safe (refer to Note 1).</w:t>
            </w:r>
          </w:p>
        </w:tc>
      </w:tr>
    </w:tbl>
    <w:p>
      <w:pPr>
        <w:pStyle w:val="TextBody"/>
        <w:bidi w:val="0"/>
        <w:spacing w:before="0" w:after="20"/>
        <w:ind w:left="360" w:right="0" w:hanging="0"/>
        <w:jc w:val="both"/>
        <w:rPr/>
      </w:pPr>
      <w:r>
        <w:rPr/>
        <w:t>​</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20"/>
        <w:ind w:left="360" w:right="0" w:hanging="0"/>
        <w:jc w:val="both"/>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8"/>
        </w:rPr>
      </w:pPr>
      <w:bookmarkStart w:id="150" w:name="_38a91046_1601_4a15_82f9_e84772f80572"/>
      <w:bookmarkEnd w:id="150"/>
      <w:r>
        <w:rPr>
          <w:rFonts w:ascii="Times New Roman;Times;serif" w:hAnsi="Times New Roman;Times;serif"/>
          <w:b/>
          <w:sz w:val="18"/>
        </w:rPr>
        <w:t>Star Holdings</w:t>
      </w:r>
    </w:p>
    <w:p>
      <w:pPr>
        <w:pStyle w:val="TextBody"/>
        <w:bidi w:val="0"/>
        <w:spacing w:before="0" w:after="0"/>
        <w:ind w:left="0" w:right="0" w:hanging="0"/>
        <w:jc w:val="center"/>
        <w:rPr>
          <w:rFonts w:ascii="Times New Roman;Times;serif" w:hAnsi="Times New Roman;Times;serif"/>
          <w:b/>
          <w:sz w:val="18"/>
        </w:rPr>
      </w:pPr>
      <w:bookmarkStart w:id="151" w:name="StatementsofOperations_593879"/>
      <w:bookmarkEnd w:id="151"/>
      <w:r>
        <w:rPr>
          <w:rFonts w:ascii="Times New Roman;Times;serif" w:hAnsi="Times New Roman;Times;serif"/>
          <w:b/>
          <w:sz w:val="18"/>
        </w:rPr>
        <w:t>Consolidated Statements of Operations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 thousands, except per share data)</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(unaudited)</w:t>
      </w:r>
    </w:p>
    <w:p>
      <w:pPr>
        <w:pStyle w:val="Normal"/>
        <w:bidi w:val="0"/>
        <w:spacing w:before="0" w:after="0"/>
        <w:jc w:val="left"/>
        <w:rPr>
          <w:sz w:val="4"/>
          <w:szCs w:val="4"/>
        </w:rPr>
      </w:pPr>
      <w:r>
        <w:rPr>
          <w:sz w:val="4"/>
          <w:szCs w:val="4"/>
        </w:rPr>
      </w:r>
      <w:bookmarkStart w:id="152" w:name="Tc_N_nz3fF5ukqb2fp2_OqYaQ_30_0"/>
      <w:bookmarkStart w:id="153" w:name="Tc_6q_jW62aM0CYg8dk8KWX2Q_29_0"/>
      <w:bookmarkStart w:id="154" w:name="Tc_bhDK1lM5fkSmHsYXpjPobA_27_11"/>
      <w:bookmarkStart w:id="155" w:name="Tc_R1i3UAsIiEiKnnllQTVJng_27_8"/>
      <w:bookmarkStart w:id="156" w:name="Tc_UgWTtG1w3EWizFnC7RaFFw_27_5"/>
      <w:bookmarkStart w:id="157" w:name="Tc_BWbRI_YqA0id7i-fdoEHdA_27_2"/>
      <w:bookmarkStart w:id="158" w:name="Tc_pH5AoOisI0KiEOlUXTkf5g_27_0"/>
      <w:bookmarkStart w:id="159" w:name="Tc_Rn21KYLER06qRW_gXYZw-w_26_0"/>
      <w:bookmarkStart w:id="160" w:name="Tc_LkgKYvKalESvu_97g4jkOg_25_0"/>
      <w:bookmarkStart w:id="161" w:name="Tc_JAiZRxDy8E6EYs3Xp5uHVg_24_11"/>
      <w:bookmarkStart w:id="162" w:name="Tc_H9zRMoYlCE-oqyM6QcwIlg_24_8"/>
      <w:bookmarkStart w:id="163" w:name="Tc_wLWSzXtLb0C9N21_X3g2YQ_24_5"/>
      <w:bookmarkStart w:id="164" w:name="Tc_MypCOyn7y0-UlkB7ZbRddA_24_2"/>
      <w:bookmarkStart w:id="165" w:name="Tc_gXRYwGxQm0SoCEk1BIfiTQ_24_0"/>
      <w:bookmarkStart w:id="166" w:name="Tc_CSigoHsmc0SYzzmZs1oK4Q_23_0"/>
      <w:bookmarkStart w:id="167" w:name="Tc_5e4FxJF8gk21DgeRpiTfBQ_22_0"/>
      <w:bookmarkStart w:id="168" w:name="Tc_JIvPO7yMCUSOjC4y8reoAQ_21_9"/>
      <w:bookmarkStart w:id="169" w:name="Tc_bJjG7-qZ80aIodXlV0UfZg_21_6"/>
      <w:bookmarkStart w:id="170" w:name="Tc_HdZsj7fDrUS5kf6D5wy4Gg_21_3"/>
      <w:bookmarkStart w:id="171" w:name="Tc_UaU_yZI5qUy82MN_2y9wZQ_21_0"/>
      <w:bookmarkStart w:id="172" w:name="Tc_fjg4g2fOiU6twLt5iveVhA_20_0"/>
      <w:bookmarkStart w:id="173" w:name="Tc_PdVYsFwIbkGVB6MQr0hMtw_19_12"/>
      <w:bookmarkStart w:id="174" w:name="Tc_ktPXHFzDx0CTWTAf59xaew_19_6"/>
      <w:bookmarkStart w:id="175" w:name="Tc_m5wJHbrNrUOCEWbSoKuTJw_19_0"/>
      <w:bookmarkStart w:id="176" w:name="Tc_-OtvNwaJ30WyzrsVFRwgtg_18_0"/>
      <w:bookmarkStart w:id="177" w:name="Tc_89dVjUgulUSYI4zZ36F9Ag_17_0"/>
      <w:bookmarkStart w:id="178" w:name="Tc_Roc1h2D2QUaRgl_2CaNLkA_16_0"/>
      <w:bookmarkStart w:id="179" w:name="Tc_vCudFL61kEGqrA9SedeWgQ_15_0"/>
      <w:bookmarkStart w:id="180" w:name="Tc_0GafX0bfrk-UF7Eo6Vi86A_14_0"/>
      <w:bookmarkStart w:id="181" w:name="Tc_A1ehwMyjuEOI0NpQ9RegMg_13_0"/>
      <w:bookmarkStart w:id="182" w:name="Tc_IA6TUgvCQkS6L4nmxozupQ_12_3"/>
      <w:bookmarkStart w:id="183" w:name="Tc_BHEb9EDycU6NOIzHqQcarA_12_0"/>
      <w:bookmarkStart w:id="184" w:name="Tc_wKZrKtUdTEyxcDWre-OUyw_11_0"/>
      <w:bookmarkStart w:id="185" w:name="Tc_7R1Bq3i7gEq7JrNQc9qfKg_10_0"/>
      <w:bookmarkStart w:id="186" w:name="Tc_S29yHFJO6EKuikCACyRotQ_9_0"/>
      <w:bookmarkStart w:id="187" w:name="Tc_83yjftRhbkmnxzA8JequHg_8_0"/>
      <w:bookmarkStart w:id="188" w:name="Tc_mefmZs_KrUWx9SSVKehIrw_7_0"/>
      <w:bookmarkStart w:id="189" w:name="Tc_-2TpTfrfpUqLrZmEHdVoOA_6_0"/>
      <w:bookmarkStart w:id="190" w:name="Tc_03dQGBy7bEmOl-Ym2MzjHg_5_0"/>
      <w:bookmarkStart w:id="191" w:name="Tc_HpEBdqPJuEyJ-gyx5fEtjA_4_11"/>
      <w:bookmarkStart w:id="192" w:name="Tc_5W6WdJybc0-CJUWOu_J_AQ_4_8"/>
      <w:bookmarkStart w:id="193" w:name="Tc_g1Cdd-fVE0KtfbSPRhO10Q_4_5"/>
      <w:bookmarkStart w:id="194" w:name="Tc_t6nah0cv-E-VGRejwDvlkQ_4_2"/>
      <w:bookmarkStart w:id="195" w:name="Tc_dQ6-qol8S02BWpBdRBdp5w_4_0"/>
      <w:bookmarkStart w:id="196" w:name="Tc_ReBvFbRcFEmTQ5rXe62DKg_3_0"/>
      <w:bookmarkStart w:id="197" w:name="Tc_hu0dPC1AjEmBbXMAWFsCLQ_2_11"/>
      <w:bookmarkStart w:id="198" w:name="Tc_KnU1JUYm1kKhiTmn_5ZzXw_2_8"/>
      <w:bookmarkStart w:id="199" w:name="Tc_QidTifvdS0W7ctkh-0rI3Q_2_5"/>
      <w:bookmarkStart w:id="200" w:name="Tc_bbISZW-4RUajiDh6vth6GQ_2_2"/>
      <w:bookmarkStart w:id="201" w:name="Tc_dKUZgjD0HU2qol8uSi1owQ_1_8"/>
      <w:bookmarkStart w:id="202" w:name="Tc_CcFLr8cXzEi0glriS_UHVA_1_2"/>
      <w:bookmarkStart w:id="203" w:name="_c90f562b_445d_4ba6_b726_6396bdf69505"/>
      <w:bookmarkStart w:id="204" w:name="_cc3d6297_40a1_4a44_81d5_6e274e7aa8a6"/>
      <w:bookmarkStart w:id="205" w:name="Tc_N_nz3fF5ukqb2fp2_OqYaQ_30_0"/>
      <w:bookmarkStart w:id="206" w:name="Tc_6q_jW62aM0CYg8dk8KWX2Q_29_0"/>
      <w:bookmarkStart w:id="207" w:name="Tc_bhDK1lM5fkSmHsYXpjPobA_27_11"/>
      <w:bookmarkStart w:id="208" w:name="Tc_R1i3UAsIiEiKnnllQTVJng_27_8"/>
      <w:bookmarkStart w:id="209" w:name="Tc_UgWTtG1w3EWizFnC7RaFFw_27_5"/>
      <w:bookmarkStart w:id="210" w:name="Tc_BWbRI_YqA0id7i-fdoEHdA_27_2"/>
      <w:bookmarkStart w:id="211" w:name="Tc_pH5AoOisI0KiEOlUXTkf5g_27_0"/>
      <w:bookmarkStart w:id="212" w:name="Tc_Rn21KYLER06qRW_gXYZw-w_26_0"/>
      <w:bookmarkStart w:id="213" w:name="Tc_LkgKYvKalESvu_97g4jkOg_25_0"/>
      <w:bookmarkStart w:id="214" w:name="Tc_JAiZRxDy8E6EYs3Xp5uHVg_24_11"/>
      <w:bookmarkStart w:id="215" w:name="Tc_H9zRMoYlCE-oqyM6QcwIlg_24_8"/>
      <w:bookmarkStart w:id="216" w:name="Tc_wLWSzXtLb0C9N21_X3g2YQ_24_5"/>
      <w:bookmarkStart w:id="217" w:name="Tc_MypCOyn7y0-UlkB7ZbRddA_24_2"/>
      <w:bookmarkStart w:id="218" w:name="Tc_gXRYwGxQm0SoCEk1BIfiTQ_24_0"/>
      <w:bookmarkStart w:id="219" w:name="Tc_CSigoHsmc0SYzzmZs1oK4Q_23_0"/>
      <w:bookmarkStart w:id="220" w:name="Tc_5e4FxJF8gk21DgeRpiTfBQ_22_0"/>
      <w:bookmarkStart w:id="221" w:name="Tc_JIvPO7yMCUSOjC4y8reoAQ_21_9"/>
      <w:bookmarkStart w:id="222" w:name="Tc_bJjG7-qZ80aIodXlV0UfZg_21_6"/>
      <w:bookmarkStart w:id="223" w:name="Tc_HdZsj7fDrUS5kf6D5wy4Gg_21_3"/>
      <w:bookmarkStart w:id="224" w:name="Tc_UaU_yZI5qUy82MN_2y9wZQ_21_0"/>
      <w:bookmarkStart w:id="225" w:name="Tc_fjg4g2fOiU6twLt5iveVhA_20_0"/>
      <w:bookmarkStart w:id="226" w:name="Tc_PdVYsFwIbkGVB6MQr0hMtw_19_12"/>
      <w:bookmarkStart w:id="227" w:name="Tc_ktPXHFzDx0CTWTAf59xaew_19_6"/>
      <w:bookmarkStart w:id="228" w:name="Tc_m5wJHbrNrUOCEWbSoKuTJw_19_0"/>
      <w:bookmarkStart w:id="229" w:name="Tc_-OtvNwaJ30WyzrsVFRwgtg_18_0"/>
      <w:bookmarkStart w:id="230" w:name="Tc_89dVjUgulUSYI4zZ36F9Ag_17_0"/>
      <w:bookmarkStart w:id="231" w:name="Tc_Roc1h2D2QUaRgl_2CaNLkA_16_0"/>
      <w:bookmarkStart w:id="232" w:name="Tc_vCudFL61kEGqrA9SedeWgQ_15_0"/>
      <w:bookmarkStart w:id="233" w:name="Tc_0GafX0bfrk-UF7Eo6Vi86A_14_0"/>
      <w:bookmarkStart w:id="234" w:name="Tc_A1ehwMyjuEOI0NpQ9RegMg_13_0"/>
      <w:bookmarkStart w:id="235" w:name="Tc_IA6TUgvCQkS6L4nmxozupQ_12_3"/>
      <w:bookmarkStart w:id="236" w:name="Tc_BHEb9EDycU6NOIzHqQcarA_12_0"/>
      <w:bookmarkStart w:id="237" w:name="Tc_wKZrKtUdTEyxcDWre-OUyw_11_0"/>
      <w:bookmarkStart w:id="238" w:name="Tc_7R1Bq3i7gEq7JrNQc9qfKg_10_0"/>
      <w:bookmarkStart w:id="239" w:name="Tc_S29yHFJO6EKuikCACyRotQ_9_0"/>
      <w:bookmarkStart w:id="240" w:name="Tc_83yjftRhbkmnxzA8JequHg_8_0"/>
      <w:bookmarkStart w:id="241" w:name="Tc_mefmZs_KrUWx9SSVKehIrw_7_0"/>
      <w:bookmarkStart w:id="242" w:name="Tc_-2TpTfrfpUqLrZmEHdVoOA_6_0"/>
      <w:bookmarkStart w:id="243" w:name="Tc_03dQGBy7bEmOl-Ym2MzjHg_5_0"/>
      <w:bookmarkStart w:id="244" w:name="Tc_HpEBdqPJuEyJ-gyx5fEtjA_4_11"/>
      <w:bookmarkStart w:id="245" w:name="Tc_5W6WdJybc0-CJUWOu_J_AQ_4_8"/>
      <w:bookmarkStart w:id="246" w:name="Tc_g1Cdd-fVE0KtfbSPRhO10Q_4_5"/>
      <w:bookmarkStart w:id="247" w:name="Tc_t6nah0cv-E-VGRejwDvlkQ_4_2"/>
      <w:bookmarkStart w:id="248" w:name="Tc_dQ6-qol8S02BWpBdRBdp5w_4_0"/>
      <w:bookmarkStart w:id="249" w:name="Tc_ReBvFbRcFEmTQ5rXe62DKg_3_0"/>
      <w:bookmarkStart w:id="250" w:name="Tc_hu0dPC1AjEmBbXMAWFsCLQ_2_11"/>
      <w:bookmarkStart w:id="251" w:name="Tc_KnU1JUYm1kKhiTmn_5ZzXw_2_8"/>
      <w:bookmarkStart w:id="252" w:name="Tc_QidTifvdS0W7ctkh-0rI3Q_2_5"/>
      <w:bookmarkStart w:id="253" w:name="Tc_bbISZW-4RUajiDh6vth6GQ_2_2"/>
      <w:bookmarkStart w:id="254" w:name="Tc_dKUZgjD0HU2qol8uSi1owQ_1_8"/>
      <w:bookmarkStart w:id="255" w:name="Tc_CcFLr8cXzEi0glriS_UHVA_1_2"/>
      <w:bookmarkStart w:id="256" w:name="_c90f562b_445d_4ba6_b726_6396bdf69505"/>
      <w:bookmarkStart w:id="257" w:name="_cc3d6297_40a1_4a44_81d5_6e274e7aa8a6"/>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tbl>
      <w:tblPr>
        <w:tblW w:w="10205" w:type="dxa"/>
        <w:jc w:val="left"/>
        <w:tblInd w:w="0" w:type="dxa"/>
        <w:tblLayout w:type="fixed"/>
        <w:tblCellMar>
          <w:top w:w="0" w:type="dxa"/>
          <w:left w:w="0" w:type="dxa"/>
          <w:bottom w:w="0" w:type="dxa"/>
          <w:right w:w="0" w:type="dxa"/>
        </w:tblCellMar>
      </w:tblPr>
      <w:tblGrid>
        <w:gridCol w:w="4331"/>
        <w:gridCol w:w="346"/>
        <w:gridCol w:w="249"/>
        <w:gridCol w:w="800"/>
        <w:gridCol w:w="409"/>
        <w:gridCol w:w="249"/>
        <w:gridCol w:w="920"/>
        <w:gridCol w:w="346"/>
        <w:gridCol w:w="237"/>
        <w:gridCol w:w="761"/>
        <w:gridCol w:w="389"/>
        <w:gridCol w:w="237"/>
        <w:gridCol w:w="931"/>
      </w:tblGrid>
      <w:tr>
        <w:trPr/>
        <w:tc>
          <w:tcPr>
            <w:tcW w:w="4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750185" cy="175260"/>
                      <wp:effectExtent l="0" t="0" r="0" b="0"/>
                      <wp:wrapNone/>
                      <wp:docPr id="47" name="Frame47"/>
                      <a:graphic xmlns:a="http://schemas.openxmlformats.org/drawingml/2006/main">
                        <a:graphicData uri="http://schemas.microsoft.com/office/word/2010/wordprocessingShape">
                          <wps:wsp>
                            <wps:cNvSpPr txBox="1"/>
                            <wps:spPr>
                              <a:xfrm>
                                <a:off x="0" y="0"/>
                                <a:ext cx="275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58115" cy="175260"/>
                      <wp:effectExtent l="0" t="0" r="0" b="0"/>
                      <wp:wrapNone/>
                      <wp:docPr id="49" name="Frame49"/>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08000" cy="175260"/>
                      <wp:effectExtent l="0" t="0" r="0" b="0"/>
                      <wp:wrapNone/>
                      <wp:docPr id="50" name="Frame50"/>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59715" cy="175260"/>
                      <wp:effectExtent l="0" t="0" r="0" b="0"/>
                      <wp:wrapNone/>
                      <wp:docPr id="51" name="Frame51"/>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58115" cy="175260"/>
                      <wp:effectExtent l="0" t="0" r="0" b="0"/>
                      <wp:wrapNone/>
                      <wp:docPr id="52" name="Frame5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84200" cy="175260"/>
                      <wp:effectExtent l="0" t="0" r="0" b="0"/>
                      <wp:wrapNone/>
                      <wp:docPr id="53" name="Frame53"/>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50495" cy="175260"/>
                      <wp:effectExtent l="0" t="0" r="0" b="0"/>
                      <wp:wrapNone/>
                      <wp:docPr id="55" name="Frame55"/>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83235" cy="175260"/>
                      <wp:effectExtent l="0" t="0" r="0" b="0"/>
                      <wp:wrapNone/>
                      <wp:docPr id="56" name="Frame56"/>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47015" cy="175260"/>
                      <wp:effectExtent l="0" t="0" r="0" b="0"/>
                      <wp:wrapNone/>
                      <wp:docPr id="57" name="Frame57"/>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50495" cy="175260"/>
                      <wp:effectExtent l="0" t="0" r="0" b="0"/>
                      <wp:wrapNone/>
                      <wp:docPr id="58" name="Frame58"/>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91185" cy="175260"/>
                      <wp:effectExtent l="0" t="0" r="0" b="0"/>
                      <wp:wrapNone/>
                      <wp:docPr id="59" name="Frame5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2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46" w:type="dxa"/>
            <w:tcBorders/>
            <w:vAlign w:val="center"/>
          </w:tcPr>
          <w:p>
            <w:pPr>
              <w:pStyle w:val="TableContents"/>
              <w:bidi w:val="0"/>
              <w:spacing w:before="0" w:after="0"/>
              <w:ind w:left="0" w:right="0" w:hanging="0"/>
              <w:jc w:val="left"/>
              <w:rPr/>
            </w:pPr>
            <w:r>
              <w:rPr/>
              <w:t>​</w:t>
            </w:r>
          </w:p>
        </w:tc>
        <w:tc>
          <w:tcPr>
            <w:tcW w:w="25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4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9" w:type="dxa"/>
            <w:tcBorders/>
            <w:vAlign w:val="center"/>
          </w:tcPr>
          <w:p>
            <w:pPr>
              <w:pStyle w:val="TableContents"/>
              <w:bidi w:val="0"/>
              <w:spacing w:before="0" w:after="0"/>
              <w:ind w:left="0" w:right="0" w:hanging="0"/>
              <w:jc w:val="left"/>
              <w:rPr/>
            </w:pPr>
            <w:r>
              <w:rPr/>
              <w:t>  ​ ​ ​</w:t>
            </w:r>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9" w:type="dxa"/>
            <w:tcBorders/>
            <w:vAlign w:val="center"/>
          </w:tcPr>
          <w:p>
            <w:pPr>
              <w:pStyle w:val="TableContents"/>
              <w:bidi w:val="0"/>
              <w:spacing w:before="0" w:after="0"/>
              <w:ind w:left="0" w:right="0" w:hanging="0"/>
              <w:jc w:val="left"/>
              <w:rPr/>
            </w:pPr>
            <w:r>
              <w:rPr/>
              <w:t>  ​ ​ ​</w:t>
            </w:r>
          </w:p>
        </w:tc>
        <w:tc>
          <w:tcPr>
            <w:tcW w:w="11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800" w:type="dxa"/>
            <w:tcBorders/>
            <w:shd w:fill="CCEEFF" w:val="clear"/>
            <w:vAlign w:val="center"/>
          </w:tcPr>
          <w:p>
            <w:pPr>
              <w:pStyle w:val="TableContents"/>
              <w:bidi w:val="0"/>
              <w:spacing w:before="0" w:after="0"/>
              <w:ind w:left="0" w:right="0" w:hanging="0"/>
              <w:jc w:val="right"/>
              <w:rPr/>
            </w:pPr>
            <w:r>
              <w:rPr/>
              <w:t>  ​</w:t>
            </w:r>
          </w:p>
        </w:tc>
        <w:tc>
          <w:tcPr>
            <w:tcW w:w="409"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  ​</w:t>
            </w:r>
          </w:p>
        </w:tc>
        <w:tc>
          <w:tcPr>
            <w:tcW w:w="389"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r>
      <w:tr>
        <w:trPr/>
        <w:tc>
          <w:tcPr>
            <w:tcW w:w="4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income</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2,443</w:t>
            </w:r>
          </w:p>
        </w:tc>
        <w:tc>
          <w:tcPr>
            <w:tcW w:w="4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1,855</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4,480</w:t>
            </w:r>
          </w:p>
        </w:tc>
        <w:tc>
          <w:tcPr>
            <w:tcW w:w="38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3,709</w:t>
            </w:r>
          </w:p>
        </w:tc>
      </w:tr>
      <w:tr>
        <w:trPr/>
        <w:tc>
          <w:tcPr>
            <w:tcW w:w="4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w:t>
            </w:r>
          </w:p>
        </w:tc>
        <w:tc>
          <w:tcPr>
            <w:tcW w:w="4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w:t>
            </w:r>
          </w:p>
        </w:tc>
        <w:tc>
          <w:tcPr>
            <w:tcW w:w="38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w:t>
            </w:r>
          </w:p>
        </w:tc>
      </w:tr>
      <w:tr>
        <w:trPr/>
        <w:tc>
          <w:tcPr>
            <w:tcW w:w="433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income</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14,657</w:t>
            </w:r>
          </w:p>
        </w:tc>
        <w:tc>
          <w:tcPr>
            <w:tcW w:w="4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12,504</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22,048</w:t>
            </w:r>
          </w:p>
        </w:tc>
        <w:tc>
          <w:tcPr>
            <w:tcW w:w="38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18,993</w:t>
            </w:r>
          </w:p>
        </w:tc>
      </w:tr>
      <w:tr>
        <w:trPr/>
        <w:tc>
          <w:tcPr>
            <w:tcW w:w="4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development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w:t>
            </w:r>
          </w:p>
        </w:tc>
        <w:tc>
          <w:tcPr>
            <w:tcW w:w="409"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26,606</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12,229</w:t>
            </w:r>
          </w:p>
        </w:tc>
        <w:tc>
          <w:tcPr>
            <w:tcW w:w="389"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31,788</w:t>
            </w:r>
          </w:p>
        </w:tc>
      </w:tr>
      <w:tr>
        <w:trPr/>
        <w:tc>
          <w:tcPr>
            <w:tcW w:w="4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19,361</w:t>
            </w:r>
          </w:p>
        </w:tc>
        <w:tc>
          <w:tcPr>
            <w:tcW w:w="409"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42,054</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40,300</w:t>
            </w:r>
          </w:p>
        </w:tc>
        <w:tc>
          <w:tcPr>
            <w:tcW w:w="38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56,678</w:t>
            </w:r>
          </w:p>
        </w:tc>
      </w:tr>
      <w:tr>
        <w:trPr/>
        <w:tc>
          <w:tcPr>
            <w:tcW w:w="43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right"/>
              <w:rPr/>
            </w:pPr>
            <w:r>
              <w:rPr/>
              <w:t>  ​</w:t>
            </w:r>
          </w:p>
        </w:tc>
        <w:tc>
          <w:tcPr>
            <w:tcW w:w="4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761" w:type="dxa"/>
            <w:tcBorders/>
            <w:shd w:fill="CCEEFF" w:val="clear"/>
            <w:vAlign w:val="center"/>
          </w:tcPr>
          <w:p>
            <w:pPr>
              <w:pStyle w:val="TableContents"/>
              <w:bidi w:val="0"/>
              <w:spacing w:before="0" w:after="0"/>
              <w:ind w:left="0" w:right="0" w:hanging="0"/>
              <w:jc w:val="right"/>
              <w:rPr/>
            </w:pPr>
            <w:r>
              <w:rPr/>
              <w:t>  ​</w:t>
            </w:r>
          </w:p>
        </w:tc>
        <w:tc>
          <w:tcPr>
            <w:tcW w:w="38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r>
      <w:tr>
        <w:trPr/>
        <w:tc>
          <w:tcPr>
            <w:tcW w:w="433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4,076</w:t>
            </w:r>
          </w:p>
        </w:tc>
        <w:tc>
          <w:tcPr>
            <w:tcW w:w="4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3,956</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10,164</w:t>
            </w:r>
          </w:p>
        </w:tc>
        <w:tc>
          <w:tcPr>
            <w:tcW w:w="38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7,719</w:t>
            </w:r>
          </w:p>
        </w:tc>
      </w:tr>
      <w:tr>
        <w:trPr/>
        <w:tc>
          <w:tcPr>
            <w:tcW w:w="43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Real estate expense</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14,055</w:t>
            </w:r>
          </w:p>
        </w:tc>
        <w:tc>
          <w:tcPr>
            <w:tcW w:w="4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12,348</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25,561</w:t>
            </w:r>
          </w:p>
        </w:tc>
        <w:tc>
          <w:tcPr>
            <w:tcW w:w="38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22,042</w:t>
            </w:r>
          </w:p>
        </w:tc>
      </w:tr>
      <w:tr>
        <w:trPr/>
        <w:tc>
          <w:tcPr>
            <w:tcW w:w="4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development cost of sales</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pPr>
            <w:r>
              <w:rPr/>
              <w:t>—</w:t>
            </w:r>
          </w:p>
        </w:tc>
        <w:tc>
          <w:tcPr>
            <w:tcW w:w="4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18,505</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9,342</w:t>
            </w:r>
          </w:p>
        </w:tc>
        <w:tc>
          <w:tcPr>
            <w:tcW w:w="38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25,332</w:t>
            </w:r>
          </w:p>
        </w:tc>
      </w:tr>
      <w:tr>
        <w:trPr/>
        <w:tc>
          <w:tcPr>
            <w:tcW w:w="4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c>
          <w:tcPr>
            <w:tcW w:w="4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3,084</w:t>
            </w:r>
          </w:p>
        </w:tc>
        <w:tc>
          <w:tcPr>
            <w:tcW w:w="38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1,929</w:t>
            </w:r>
          </w:p>
        </w:tc>
      </w:tr>
      <w:tr>
        <w:trPr/>
        <w:tc>
          <w:tcPr>
            <w:tcW w:w="433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2,616</w:t>
            </w:r>
          </w:p>
        </w:tc>
        <w:tc>
          <w:tcPr>
            <w:tcW w:w="4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3,255</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5,902</w:t>
            </w:r>
          </w:p>
        </w:tc>
        <w:tc>
          <w:tcPr>
            <w:tcW w:w="38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7,972</w:t>
            </w:r>
          </w:p>
        </w:tc>
      </w:tr>
      <w:tr>
        <w:trPr/>
        <w:tc>
          <w:tcPr>
            <w:tcW w:w="4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(recovery of) loan losses</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38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4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09"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38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21,610</w:t>
            </w:r>
          </w:p>
        </w:tc>
        <w:tc>
          <w:tcPr>
            <w:tcW w:w="4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39,043</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54,844</w:t>
            </w:r>
          </w:p>
        </w:tc>
        <w:tc>
          <w:tcPr>
            <w:tcW w:w="38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64,889</w:t>
            </w:r>
          </w:p>
        </w:tc>
      </w:tr>
      <w:tr>
        <w:trPr/>
        <w:tc>
          <w:tcPr>
            <w:tcW w:w="4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equity investments</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29,344</w:t>
            </w:r>
          </w:p>
        </w:tc>
        <w:tc>
          <w:tcPr>
            <w:tcW w:w="4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(42,732)</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27,181</w:t>
            </w:r>
          </w:p>
        </w:tc>
        <w:tc>
          <w:tcPr>
            <w:tcW w:w="38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(39,486)</w:t>
            </w:r>
          </w:p>
        </w:tc>
      </w:tr>
      <w:tr>
        <w:trPr/>
        <w:tc>
          <w:tcPr>
            <w:tcW w:w="4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sales of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14,365</w:t>
            </w:r>
          </w:p>
        </w:tc>
        <w:tc>
          <w:tcPr>
            <w:tcW w:w="409"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14,365</w:t>
            </w:r>
          </w:p>
        </w:tc>
        <w:tc>
          <w:tcPr>
            <w:tcW w:w="389"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 before other items and income taxes</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41,460</w:t>
            </w:r>
          </w:p>
        </w:tc>
        <w:tc>
          <w:tcPr>
            <w:tcW w:w="4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(39,721)</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27,002</w:t>
            </w:r>
          </w:p>
        </w:tc>
        <w:tc>
          <w:tcPr>
            <w:tcW w:w="38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(47,697)</w:t>
            </w:r>
          </w:p>
        </w:tc>
      </w:tr>
      <w:tr>
        <w:trPr/>
        <w:tc>
          <w:tcPr>
            <w:tcW w:w="4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early extinguishment of debt, net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8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4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41,460</w:t>
            </w:r>
          </w:p>
        </w:tc>
        <w:tc>
          <w:tcPr>
            <w:tcW w:w="4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(39,721)</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27,002</w:t>
            </w:r>
          </w:p>
        </w:tc>
        <w:tc>
          <w:tcPr>
            <w:tcW w:w="38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(47,767)</w:t>
            </w:r>
          </w:p>
        </w:tc>
      </w:tr>
      <w:tr>
        <w:trPr/>
        <w:tc>
          <w:tcPr>
            <w:tcW w:w="4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from operations attributable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09"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4,189</w:t>
            </w:r>
          </w:p>
        </w:tc>
        <w:tc>
          <w:tcPr>
            <w:tcW w:w="389"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w:t>
            </w:r>
          </w:p>
        </w:tc>
      </w:tr>
      <w:tr>
        <w:trPr/>
        <w:tc>
          <w:tcPr>
            <w:tcW w:w="4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allocable to common shareholders</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41,448</w:t>
            </w:r>
          </w:p>
        </w:tc>
        <w:tc>
          <w:tcPr>
            <w:tcW w:w="409"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(39,308)</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31,191</w:t>
            </w:r>
          </w:p>
        </w:tc>
        <w:tc>
          <w:tcPr>
            <w:tcW w:w="389"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(46,912)</w:t>
            </w:r>
          </w:p>
        </w:tc>
      </w:tr>
      <w:tr>
        <w:trPr/>
        <w:tc>
          <w:tcPr>
            <w:tcW w:w="43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 common share data:</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right"/>
              <w:rPr/>
            </w:pPr>
            <w:r>
              <w:rPr/>
              <w:t>  ​</w:t>
            </w:r>
          </w:p>
        </w:tc>
        <w:tc>
          <w:tcPr>
            <w:tcW w:w="4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761" w:type="dxa"/>
            <w:tcBorders/>
            <w:shd w:fill="CCEEFF" w:val="clear"/>
            <w:vAlign w:val="center"/>
          </w:tcPr>
          <w:p>
            <w:pPr>
              <w:pStyle w:val="TableContents"/>
              <w:bidi w:val="0"/>
              <w:spacing w:before="0" w:after="0"/>
              <w:ind w:left="0" w:right="0" w:hanging="0"/>
              <w:jc w:val="right"/>
              <w:rPr/>
            </w:pPr>
            <w:r>
              <w:rPr/>
              <w:t>  ​</w:t>
            </w:r>
          </w:p>
        </w:tc>
        <w:tc>
          <w:tcPr>
            <w:tcW w:w="38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r>
      <w:tr>
        <w:trPr/>
        <w:tc>
          <w:tcPr>
            <w:tcW w:w="4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allocable to common shareholders</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pPr>
            <w:r>
              <w:rPr/>
              <w:t>  ​</w:t>
            </w:r>
          </w:p>
        </w:tc>
        <w:tc>
          <w:tcPr>
            <w:tcW w:w="4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pPr>
            <w:r>
              <w:rPr/>
              <w:t>  ​</w:t>
            </w:r>
          </w:p>
        </w:tc>
        <w:tc>
          <w:tcPr>
            <w:tcW w:w="38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r>
      <w:tr>
        <w:trPr/>
        <w:tc>
          <w:tcPr>
            <w:tcW w:w="4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46" w:type="dxa"/>
            <w:tcBorders/>
            <w:shd w:fill="CCEEFF" w:val="clear"/>
            <w:vAlign w:val="center"/>
          </w:tcPr>
          <w:p>
            <w:pPr>
              <w:pStyle w:val="TableContents"/>
              <w:bidi w:val="0"/>
              <w:spacing w:before="0" w:after="0"/>
              <w:ind w:left="0" w:right="0" w:hanging="0"/>
              <w:jc w:val="left"/>
              <w:rPr>
                <w:color w:val="2C2C2C"/>
              </w:rPr>
            </w:pPr>
            <w:r>
              <w:rPr>
                <w:color w:val="2C2C2C"/>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color w:val="2C2C2C"/>
                <w:sz w:val="20"/>
              </w:rPr>
            </w:pPr>
            <w:r>
              <w:rPr>
                <w:rFonts w:ascii="Times New Roman;Times;serif" w:hAnsi="Times New Roman;Times;serif"/>
                <w:color w:val="2C2C2C"/>
                <w:sz w:val="20"/>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color w:val="2C2C2C"/>
                <w:sz w:val="20"/>
              </w:rPr>
            </w:pPr>
            <w:r>
              <w:rPr>
                <w:rFonts w:ascii="Times New Roman;Times;serif" w:hAnsi="Times New Roman;Times;serif"/>
                <w:color w:val="2C2C2C"/>
                <w:sz w:val="20"/>
              </w:rPr>
              <w:t>3.43</w:t>
            </w:r>
          </w:p>
        </w:tc>
        <w:tc>
          <w:tcPr>
            <w:tcW w:w="409" w:type="dxa"/>
            <w:tcBorders/>
            <w:shd w:fill="CCEEFF" w:val="clear"/>
            <w:vAlign w:val="center"/>
          </w:tcPr>
          <w:p>
            <w:pPr>
              <w:pStyle w:val="TableContents"/>
              <w:bidi w:val="0"/>
              <w:spacing w:before="0" w:after="0"/>
              <w:ind w:left="0" w:right="0" w:hanging="0"/>
              <w:jc w:val="left"/>
              <w:rPr>
                <w:color w:val="2C2C2C"/>
              </w:rPr>
            </w:pPr>
            <w:r>
              <w:rPr>
                <w:color w:val="2C2C2C"/>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color w:val="2C2C2C"/>
                <w:sz w:val="20"/>
              </w:rPr>
            </w:pPr>
            <w:r>
              <w:rPr>
                <w:rFonts w:ascii="Times New Roman;Times;serif" w:hAnsi="Times New Roman;Times;serif"/>
                <w:color w:val="2C2C2C"/>
                <w:sz w:val="20"/>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color w:val="2C2C2C"/>
                <w:sz w:val="20"/>
              </w:rPr>
            </w:pPr>
            <w:r>
              <w:rPr>
                <w:rFonts w:ascii="Times New Roman;Times;serif" w:hAnsi="Times New Roman;Times;serif"/>
                <w:color w:val="2C2C2C"/>
                <w:sz w:val="20"/>
              </w:rPr>
              <w:t>(2.95)</w:t>
            </w:r>
          </w:p>
        </w:tc>
        <w:tc>
          <w:tcPr>
            <w:tcW w:w="346" w:type="dxa"/>
            <w:tcBorders/>
            <w:shd w:fill="CCEEFF" w:val="clear"/>
            <w:vAlign w:val="center"/>
          </w:tcPr>
          <w:p>
            <w:pPr>
              <w:pStyle w:val="TableContents"/>
              <w:bidi w:val="0"/>
              <w:spacing w:before="0" w:after="0"/>
              <w:ind w:left="0" w:right="0" w:hanging="0"/>
              <w:jc w:val="left"/>
              <w:rPr>
                <w:color w:val="2C2C2C"/>
              </w:rPr>
            </w:pPr>
            <w:r>
              <w:rPr>
                <w:color w:val="2C2C2C"/>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color w:val="2C2C2C"/>
                <w:sz w:val="20"/>
              </w:rPr>
            </w:pPr>
            <w:r>
              <w:rPr>
                <w:rFonts w:ascii="Times New Roman;Times;serif" w:hAnsi="Times New Roman;Times;serif"/>
                <w:color w:val="2C2C2C"/>
                <w:sz w:val="20"/>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color w:val="2C2C2C"/>
                <w:sz w:val="20"/>
              </w:rPr>
            </w:pPr>
            <w:r>
              <w:rPr>
                <w:rFonts w:ascii="Times New Roman;Times;serif" w:hAnsi="Times New Roman;Times;serif"/>
                <w:color w:val="2C2C2C"/>
                <w:sz w:val="20"/>
              </w:rPr>
              <w:t>2.58</w:t>
            </w:r>
          </w:p>
        </w:tc>
        <w:tc>
          <w:tcPr>
            <w:tcW w:w="389" w:type="dxa"/>
            <w:tcBorders/>
            <w:shd w:fill="CCEEFF" w:val="clear"/>
            <w:vAlign w:val="center"/>
          </w:tcPr>
          <w:p>
            <w:pPr>
              <w:pStyle w:val="TableContents"/>
              <w:bidi w:val="0"/>
              <w:spacing w:before="0" w:after="0"/>
              <w:ind w:left="0" w:right="0" w:hanging="0"/>
              <w:jc w:val="left"/>
              <w:rPr>
                <w:color w:val="2C2C2C"/>
              </w:rPr>
            </w:pPr>
            <w:r>
              <w:rPr>
                <w:color w:val="2C2C2C"/>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color w:val="2C2C2C"/>
                <w:sz w:val="20"/>
              </w:rPr>
            </w:pPr>
            <w:r>
              <w:rPr>
                <w:rFonts w:ascii="Times New Roman;Times;serif" w:hAnsi="Times New Roman;Times;serif"/>
                <w:color w:val="2C2C2C"/>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color w:val="2C2C2C"/>
                <w:sz w:val="20"/>
              </w:rPr>
            </w:pPr>
            <w:r>
              <w:rPr>
                <w:rFonts w:ascii="Times New Roman;Times;serif" w:hAnsi="Times New Roman;Times;serif"/>
                <w:color w:val="2C2C2C"/>
                <w:sz w:val="20"/>
              </w:rPr>
              <w:t>(3.52)</w:t>
            </w:r>
          </w:p>
        </w:tc>
      </w:tr>
      <w:tr>
        <w:trPr/>
        <w:tc>
          <w:tcPr>
            <w:tcW w:w="4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color w:val="2C2C2C"/>
              </w:rPr>
            </w:pPr>
            <w:r>
              <w:rPr>
                <w:color w:val="2C2C2C"/>
              </w:rPr>
              <w:t>​</w:t>
            </w:r>
          </w:p>
        </w:tc>
        <w:tc>
          <w:tcPr>
            <w:tcW w:w="249" w:type="dxa"/>
            <w:tcBorders/>
            <w:vAlign w:val="center"/>
          </w:tcPr>
          <w:p>
            <w:pPr>
              <w:pStyle w:val="TableContents"/>
              <w:bidi w:val="0"/>
              <w:spacing w:before="0" w:after="0"/>
              <w:ind w:left="0" w:right="0" w:hanging="0"/>
              <w:jc w:val="left"/>
              <w:rPr>
                <w:color w:val="2C2C2C"/>
              </w:rPr>
            </w:pPr>
            <w:r>
              <w:rPr>
                <w:color w:val="2C2C2C"/>
              </w:rPr>
              <w:t>​</w:t>
            </w:r>
          </w:p>
        </w:tc>
        <w:tc>
          <w:tcPr>
            <w:tcW w:w="800" w:type="dxa"/>
            <w:tcBorders/>
            <w:vAlign w:val="center"/>
          </w:tcPr>
          <w:p>
            <w:pPr>
              <w:pStyle w:val="TableContents"/>
              <w:bidi w:val="0"/>
              <w:spacing w:before="0" w:after="0"/>
              <w:ind w:left="0" w:right="0" w:hanging="0"/>
              <w:jc w:val="right"/>
              <w:rPr>
                <w:color w:val="2C2C2C"/>
              </w:rPr>
            </w:pPr>
            <w:r>
              <w:rPr>
                <w:color w:val="2C2C2C"/>
              </w:rPr>
              <w:t>​</w:t>
            </w:r>
          </w:p>
        </w:tc>
        <w:tc>
          <w:tcPr>
            <w:tcW w:w="409" w:type="dxa"/>
            <w:tcBorders/>
            <w:vAlign w:val="center"/>
          </w:tcPr>
          <w:p>
            <w:pPr>
              <w:pStyle w:val="TableContents"/>
              <w:bidi w:val="0"/>
              <w:spacing w:before="0" w:after="0"/>
              <w:ind w:left="0" w:right="0" w:hanging="0"/>
              <w:jc w:val="left"/>
              <w:rPr>
                <w:color w:val="2C2C2C"/>
              </w:rPr>
            </w:pPr>
            <w:r>
              <w:rPr>
                <w:color w:val="2C2C2C"/>
              </w:rPr>
              <w:t>​</w:t>
            </w:r>
          </w:p>
        </w:tc>
        <w:tc>
          <w:tcPr>
            <w:tcW w:w="249" w:type="dxa"/>
            <w:tcBorders/>
            <w:vAlign w:val="center"/>
          </w:tcPr>
          <w:p>
            <w:pPr>
              <w:pStyle w:val="TableContents"/>
              <w:bidi w:val="0"/>
              <w:spacing w:before="0" w:after="0"/>
              <w:ind w:left="0" w:right="0" w:hanging="0"/>
              <w:jc w:val="left"/>
              <w:rPr>
                <w:color w:val="2C2C2C"/>
              </w:rPr>
            </w:pPr>
            <w:r>
              <w:rPr>
                <w:color w:val="2C2C2C"/>
              </w:rPr>
              <w:t>​</w:t>
            </w:r>
          </w:p>
        </w:tc>
        <w:tc>
          <w:tcPr>
            <w:tcW w:w="920" w:type="dxa"/>
            <w:tcBorders/>
            <w:vAlign w:val="center"/>
          </w:tcPr>
          <w:p>
            <w:pPr>
              <w:pStyle w:val="TableContents"/>
              <w:bidi w:val="0"/>
              <w:spacing w:before="0" w:after="0"/>
              <w:ind w:left="0" w:right="0" w:hanging="0"/>
              <w:jc w:val="right"/>
              <w:rPr>
                <w:color w:val="2C2C2C"/>
              </w:rPr>
            </w:pPr>
            <w:r>
              <w:rPr>
                <w:color w:val="2C2C2C"/>
              </w:rPr>
              <w:t>​</w:t>
            </w:r>
          </w:p>
        </w:tc>
        <w:tc>
          <w:tcPr>
            <w:tcW w:w="346" w:type="dxa"/>
            <w:tcBorders/>
            <w:vAlign w:val="center"/>
          </w:tcPr>
          <w:p>
            <w:pPr>
              <w:pStyle w:val="TableContents"/>
              <w:bidi w:val="0"/>
              <w:spacing w:before="0" w:after="0"/>
              <w:ind w:left="0" w:right="0" w:hanging="0"/>
              <w:jc w:val="left"/>
              <w:rPr>
                <w:color w:val="2C2C2C"/>
              </w:rPr>
            </w:pPr>
            <w:r>
              <w:rPr>
                <w:color w:val="2C2C2C"/>
              </w:rPr>
              <w:t>​</w:t>
            </w:r>
          </w:p>
        </w:tc>
        <w:tc>
          <w:tcPr>
            <w:tcW w:w="237" w:type="dxa"/>
            <w:tcBorders/>
            <w:vAlign w:val="center"/>
          </w:tcPr>
          <w:p>
            <w:pPr>
              <w:pStyle w:val="TableContents"/>
              <w:bidi w:val="0"/>
              <w:spacing w:before="0" w:after="0"/>
              <w:ind w:left="0" w:right="0" w:hanging="0"/>
              <w:jc w:val="left"/>
              <w:rPr>
                <w:color w:val="2C2C2C"/>
              </w:rPr>
            </w:pPr>
            <w:r>
              <w:rPr>
                <w:color w:val="2C2C2C"/>
              </w:rPr>
              <w:t>​</w:t>
            </w:r>
          </w:p>
        </w:tc>
        <w:tc>
          <w:tcPr>
            <w:tcW w:w="761" w:type="dxa"/>
            <w:tcBorders/>
            <w:vAlign w:val="center"/>
          </w:tcPr>
          <w:p>
            <w:pPr>
              <w:pStyle w:val="TableContents"/>
              <w:bidi w:val="0"/>
              <w:spacing w:before="0" w:after="0"/>
              <w:ind w:left="0" w:right="0" w:hanging="0"/>
              <w:jc w:val="right"/>
              <w:rPr>
                <w:color w:val="2C2C2C"/>
              </w:rPr>
            </w:pPr>
            <w:r>
              <w:rPr>
                <w:color w:val="2C2C2C"/>
              </w:rPr>
              <w:t>​</w:t>
            </w:r>
          </w:p>
        </w:tc>
        <w:tc>
          <w:tcPr>
            <w:tcW w:w="389" w:type="dxa"/>
            <w:tcBorders/>
            <w:vAlign w:val="center"/>
          </w:tcPr>
          <w:p>
            <w:pPr>
              <w:pStyle w:val="TableContents"/>
              <w:bidi w:val="0"/>
              <w:spacing w:before="0" w:after="0"/>
              <w:ind w:left="0" w:right="0" w:hanging="0"/>
              <w:jc w:val="left"/>
              <w:rPr>
                <w:color w:val="2C2C2C"/>
              </w:rPr>
            </w:pPr>
            <w:r>
              <w:rPr>
                <w:color w:val="2C2C2C"/>
              </w:rPr>
              <w:t>​</w:t>
            </w:r>
          </w:p>
        </w:tc>
        <w:tc>
          <w:tcPr>
            <w:tcW w:w="237" w:type="dxa"/>
            <w:tcBorders/>
            <w:vAlign w:val="center"/>
          </w:tcPr>
          <w:p>
            <w:pPr>
              <w:pStyle w:val="TableContents"/>
              <w:bidi w:val="0"/>
              <w:spacing w:before="0" w:after="0"/>
              <w:ind w:left="0" w:right="0" w:hanging="0"/>
              <w:jc w:val="left"/>
              <w:rPr>
                <w:color w:val="2C2C2C"/>
              </w:rPr>
            </w:pPr>
            <w:r>
              <w:rPr>
                <w:color w:val="2C2C2C"/>
              </w:rPr>
              <w:t>​</w:t>
            </w:r>
          </w:p>
        </w:tc>
        <w:tc>
          <w:tcPr>
            <w:tcW w:w="931" w:type="dxa"/>
            <w:tcBorders/>
            <w:vAlign w:val="center"/>
          </w:tcPr>
          <w:p>
            <w:pPr>
              <w:pStyle w:val="TableContents"/>
              <w:bidi w:val="0"/>
              <w:spacing w:before="0" w:after="0"/>
              <w:ind w:left="0" w:right="0" w:hanging="0"/>
              <w:jc w:val="right"/>
              <w:rPr>
                <w:color w:val="2C2C2C"/>
              </w:rPr>
            </w:pPr>
            <w:r>
              <w:rPr>
                <w:color w:val="2C2C2C"/>
              </w:rPr>
              <w:t>​</w:t>
            </w:r>
          </w:p>
        </w:tc>
      </w:tr>
      <w:tr>
        <w:trPr/>
        <w:tc>
          <w:tcPr>
            <w:tcW w:w="43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 average number of common shares:</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right"/>
              <w:rPr/>
            </w:pPr>
            <w:r>
              <w:rPr/>
              <w:t>  ​</w:t>
            </w:r>
          </w:p>
        </w:tc>
        <w:tc>
          <w:tcPr>
            <w:tcW w:w="4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761" w:type="dxa"/>
            <w:tcBorders/>
            <w:shd w:fill="CCEEFF" w:val="clear"/>
            <w:vAlign w:val="center"/>
          </w:tcPr>
          <w:p>
            <w:pPr>
              <w:pStyle w:val="TableContents"/>
              <w:bidi w:val="0"/>
              <w:spacing w:before="0" w:after="0"/>
              <w:ind w:left="0" w:right="0" w:hanging="0"/>
              <w:jc w:val="right"/>
              <w:rPr/>
            </w:pPr>
            <w:r>
              <w:rPr/>
              <w:t>  ​</w:t>
            </w:r>
          </w:p>
        </w:tc>
        <w:tc>
          <w:tcPr>
            <w:tcW w:w="38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r>
      <w:tr>
        <w:trPr/>
        <w:tc>
          <w:tcPr>
            <w:tcW w:w="4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12,081</w:t>
            </w:r>
          </w:p>
        </w:tc>
        <w:tc>
          <w:tcPr>
            <w:tcW w:w="4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13,311</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12,106</w:t>
            </w:r>
          </w:p>
        </w:tc>
        <w:tc>
          <w:tcPr>
            <w:tcW w:w="38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13,315</w:t>
            </w:r>
          </w:p>
        </w:tc>
      </w:tr>
    </w:tbl>
    <w:p>
      <w:pPr>
        <w:pStyle w:val="Normal"/>
        <w:bidi w:val="0"/>
        <w:spacing w:before="0" w:after="0"/>
        <w:jc w:val="left"/>
        <w:rPr>
          <w:sz w:val="4"/>
          <w:szCs w:val="4"/>
        </w:rPr>
      </w:pPr>
      <w:r>
        <w:rPr>
          <w:sz w:val="4"/>
          <w:szCs w:val="4"/>
        </w:rPr>
      </w:r>
      <w:bookmarkStart w:id="258" w:name="_890c30e5_27c5_48b7_b84e_be3f7cef0a0c"/>
      <w:bookmarkStart w:id="259" w:name="_890c30e5_27c5_48b7_b84e_be3f7cef0a0c"/>
      <w:bookmarkEnd w:id="259"/>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16"/>
              </w:rPr>
              <w:t>For the three months ended June 30, 2026 and 2025, includes $6.8</w:t>
            </w:r>
            <w:r>
              <w:rPr>
                <w:caps w:val="false"/>
                <w:smallCaps w:val="false"/>
                <w:spacing w:val="4"/>
              </w:rPr>
              <w:t> </w:t>
            </w:r>
            <w:r>
              <w:rPr>
                <w:rFonts w:ascii="Times New Roman;Times;serif" w:hAnsi="Times New Roman;Times;serif"/>
                <w:b w:val="false"/>
                <w:i w:val="false"/>
                <w:caps w:val="false"/>
                <w:smallCaps w:val="false"/>
                <w:spacing w:val="4"/>
                <w:sz w:val="16"/>
              </w:rPr>
              <w:t>million and $6.1</w:t>
            </w:r>
            <w:r>
              <w:rPr>
                <w:caps w:val="false"/>
                <w:smallCaps w:val="false"/>
                <w:spacing w:val="4"/>
              </w:rPr>
              <w:t> </w:t>
            </w:r>
            <w:r>
              <w:rPr>
                <w:rFonts w:ascii="Times New Roman;Times;serif" w:hAnsi="Times New Roman;Times;serif"/>
                <w:b w:val="false"/>
                <w:i w:val="false"/>
                <w:caps w:val="false"/>
                <w:smallCaps w:val="false"/>
                <w:spacing w:val="4"/>
                <w:sz w:val="16"/>
              </w:rPr>
              <w:t>million, respectively, of revenues from hotel properties.</w:t>
            </w:r>
            <w:r>
              <w:rPr>
                <w:caps w:val="false"/>
                <w:smallCaps w:val="false"/>
                <w:spacing w:val="4"/>
                <w:shd w:fill="FFFFFF" w:val="clear"/>
              </w:rPr>
              <w:t> </w:t>
            </w:r>
            <w:r>
              <w:rPr>
                <w:rFonts w:ascii="Times New Roman;Times;serif" w:hAnsi="Times New Roman;Times;serif"/>
                <w:b w:val="false"/>
                <w:i w:val="false"/>
                <w:caps w:val="false"/>
                <w:smallCaps w:val="false"/>
                <w:spacing w:val="4"/>
                <w:sz w:val="16"/>
                <w:shd w:fill="FFFFFF" w:val="clear"/>
              </w:rPr>
              <w:t>For the six months ended June 30, 2026 and 2025, includes $8.8</w:t>
            </w:r>
            <w:r>
              <w:rPr>
                <w:caps w:val="false"/>
                <w:smallCaps w:val="false"/>
                <w:spacing w:val="4"/>
                <w:shd w:fill="FFFFFF" w:val="clear"/>
              </w:rPr>
              <w:t> </w:t>
            </w:r>
            <w:r>
              <w:rPr>
                <w:rFonts w:ascii="Times New Roman;Times;serif" w:hAnsi="Times New Roman;Times;serif"/>
                <w:b w:val="false"/>
                <w:i w:val="false"/>
                <w:caps w:val="false"/>
                <w:smallCaps w:val="false"/>
                <w:spacing w:val="4"/>
                <w:sz w:val="16"/>
                <w:shd w:fill="FFFFFF" w:val="clear"/>
              </w:rPr>
              <w:t>million and $8.0</w:t>
            </w:r>
            <w:r>
              <w:rPr>
                <w:caps w:val="false"/>
                <w:smallCaps w:val="false"/>
                <w:spacing w:val="4"/>
                <w:shd w:fill="FFFFFF" w:val="clear"/>
              </w:rPr>
              <w:t> </w:t>
            </w:r>
            <w:r>
              <w:rPr>
                <w:rFonts w:ascii="Times New Roman;Times;serif" w:hAnsi="Times New Roman;Times;serif"/>
                <w:b w:val="false"/>
                <w:i w:val="false"/>
                <w:caps w:val="false"/>
                <w:smallCaps w:val="false"/>
                <w:spacing w:val="4"/>
                <w:sz w:val="16"/>
                <w:shd w:fill="FFFFFF" w:val="clear"/>
              </w:rPr>
              <w:t xml:space="preserve">million, respectively, of revenues from hotel properties. </w:t>
            </w:r>
            <w:r>
              <w:rPr>
                <w:rFonts w:ascii="Times New Roman;Times;serif" w:hAnsi="Times New Roman;Times;serif"/>
                <w:b w:val="false"/>
                <w:i w:val="false"/>
                <w:caps w:val="false"/>
                <w:smallCaps w:val="false"/>
                <w:spacing w:val="4"/>
                <w:sz w:val="16"/>
              </w:rPr>
              <w:t>For the three months ended June 30, 2026, other income and real estate expense include $2.5</w:t>
            </w:r>
            <w:r>
              <w:rPr>
                <w:caps w:val="false"/>
                <w:smallCaps w:val="false"/>
                <w:spacing w:val="4"/>
              </w:rPr>
              <w:t xml:space="preserve"> </w:t>
            </w:r>
            <w:r>
              <w:rPr>
                <w:rFonts w:ascii="Times New Roman;Times;serif" w:hAnsi="Times New Roman;Times;serif"/>
                <w:b w:val="false"/>
                <w:i w:val="false"/>
                <w:caps w:val="false"/>
                <w:smallCaps w:val="false"/>
                <w:spacing w:val="4"/>
                <w:sz w:val="16"/>
              </w:rPr>
              <w:t>million and $1.2</w:t>
            </w:r>
            <w:r>
              <w:rPr>
                <w:caps w:val="false"/>
                <w:smallCaps w:val="false"/>
                <w:spacing w:val="4"/>
              </w:rPr>
              <w:t xml:space="preserve"> </w:t>
            </w:r>
            <w:r>
              <w:rPr>
                <w:rFonts w:ascii="Times New Roman;Times;serif" w:hAnsi="Times New Roman;Times;serif"/>
                <w:b w:val="false"/>
                <w:i w:val="false"/>
                <w:caps w:val="false"/>
                <w:smallCaps w:val="false"/>
                <w:spacing w:val="4"/>
                <w:sz w:val="16"/>
              </w:rPr>
              <w:t>million, respectively, of income and expense related to a legal settlement with respect to one of iStar’s (refer to Note 1) legacy assets. For the six months ended June 30, 2026, other income and real estate expense include $3.5</w:t>
            </w:r>
            <w:r>
              <w:rPr>
                <w:caps w:val="false"/>
                <w:smallCaps w:val="false"/>
                <w:spacing w:val="4"/>
              </w:rPr>
              <w:t xml:space="preserve"> </w:t>
            </w:r>
            <w:r>
              <w:rPr>
                <w:rFonts w:ascii="Times New Roman;Times;serif" w:hAnsi="Times New Roman;Times;serif"/>
                <w:b w:val="false"/>
                <w:i w:val="false"/>
                <w:caps w:val="false"/>
                <w:smallCaps w:val="false"/>
                <w:spacing w:val="4"/>
                <w:sz w:val="16"/>
              </w:rPr>
              <w:t>million and $1.7</w:t>
            </w:r>
            <w:r>
              <w:rPr>
                <w:caps w:val="false"/>
                <w:smallCaps w:val="false"/>
                <w:spacing w:val="4"/>
              </w:rPr>
              <w:t xml:space="preserve"> </w:t>
            </w:r>
            <w:r>
              <w:rPr>
                <w:rFonts w:ascii="Times New Roman;Times;serif" w:hAnsi="Times New Roman;Times;serif"/>
                <w:b w:val="false"/>
                <w:i w:val="false"/>
                <w:caps w:val="false"/>
                <w:smallCaps w:val="false"/>
                <w:spacing w:val="4"/>
                <w:sz w:val="16"/>
              </w:rPr>
              <w:t>million, respectively, of income and expense related to a legal settlement with respect to one of iStar’s legacy assets. These amounts are recorded upon settlement due to uncertainty regarding collectability of the funds. The income represents the gross amount of the settlement and the expense represents legal costs incurred to a third party, which was contingent on the settlement.</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0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For the three months ended June 30, 2026 and 2025, includes $2.3</w:t>
            </w:r>
            <w:r>
              <w:rPr>
                <w:caps w:val="false"/>
                <w:smallCaps w:val="false"/>
              </w:rPr>
              <w:t xml:space="preserve"> </w:t>
            </w:r>
            <w:r>
              <w:rPr>
                <w:rFonts w:ascii="Times New Roman;Times;serif" w:hAnsi="Times New Roman;Times;serif"/>
                <w:b w:val="false"/>
                <w:i w:val="false"/>
                <w:caps w:val="false"/>
                <w:smallCaps w:val="false"/>
                <w:sz w:val="16"/>
              </w:rPr>
              <w:t>million and $2.2</w:t>
            </w:r>
            <w:r>
              <w:rPr>
                <w:caps w:val="false"/>
                <w:smallCaps w:val="false"/>
              </w:rPr>
              <w:t xml:space="preserve"> </w:t>
            </w:r>
            <w:r>
              <w:rPr>
                <w:rFonts w:ascii="Times New Roman;Times;serif" w:hAnsi="Times New Roman;Times;serif"/>
                <w:b w:val="false"/>
                <w:i w:val="false"/>
                <w:caps w:val="false"/>
                <w:smallCaps w:val="false"/>
                <w:sz w:val="16"/>
              </w:rPr>
              <w:t>million, respectively, of expense to related parties. For the six months ended June 30, 2026 and 2025, includes $4.6</w:t>
            </w:r>
            <w:r>
              <w:rPr>
                <w:caps w:val="false"/>
                <w:smallCaps w:val="false"/>
              </w:rPr>
              <w:t xml:space="preserve"> </w:t>
            </w:r>
            <w:r>
              <w:rPr>
                <w:rFonts w:ascii="Times New Roman;Times;serif" w:hAnsi="Times New Roman;Times;serif"/>
                <w:b w:val="false"/>
                <w:i w:val="false"/>
                <w:caps w:val="false"/>
                <w:smallCaps w:val="false"/>
                <w:sz w:val="16"/>
              </w:rPr>
              <w:t>million and $4.4</w:t>
            </w:r>
            <w:r>
              <w:rPr>
                <w:caps w:val="false"/>
                <w:smallCaps w:val="false"/>
              </w:rPr>
              <w:t xml:space="preserve"> </w:t>
            </w:r>
            <w:r>
              <w:rPr>
                <w:rFonts w:ascii="Times New Roman;Times;serif" w:hAnsi="Times New Roman;Times;serif"/>
                <w:b w:val="false"/>
                <w:i w:val="false"/>
                <w:caps w:val="false"/>
                <w:smallCaps w:val="false"/>
                <w:sz w:val="16"/>
              </w:rPr>
              <w:t xml:space="preserve">million, respectively, of expense to related parties. </w:t>
            </w:r>
          </w:p>
        </w:tc>
      </w:tr>
    </w:tbl>
    <w:p>
      <w:pPr>
        <w:pStyle w:val="Normal"/>
        <w:bidi w:val="0"/>
        <w:spacing w:before="0" w:after="0"/>
        <w:jc w:val="left"/>
        <w:rPr>
          <w:sz w:val="4"/>
          <w:szCs w:val="4"/>
        </w:rPr>
      </w:pPr>
      <w:r>
        <w:rPr>
          <w:sz w:val="4"/>
          <w:szCs w:val="4"/>
        </w:rPr>
      </w:r>
      <w:bookmarkStart w:id="260" w:name="_c79f9247_638e_4b3d_bdbf_b7267ecded8c"/>
      <w:bookmarkStart w:id="261" w:name="_c79f9247_638e_4b3d_bdbf_b7267ecded8c"/>
      <w:bookmarkEnd w:id="261"/>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1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16"/>
              </w:rPr>
              <w:t>For the three months ended June 30, 2026 and 2025, includes $1.9</w:t>
            </w:r>
            <w:r>
              <w:rPr>
                <w:caps w:val="false"/>
                <w:smallCaps w:val="false"/>
                <w:spacing w:val="4"/>
              </w:rPr>
              <w:t xml:space="preserve"> </w:t>
            </w:r>
            <w:r>
              <w:rPr>
                <w:rFonts w:ascii="Times New Roman;Times;serif" w:hAnsi="Times New Roman;Times;serif"/>
                <w:b w:val="false"/>
                <w:i w:val="false"/>
                <w:caps w:val="false"/>
                <w:smallCaps w:val="false"/>
                <w:spacing w:val="4"/>
                <w:sz w:val="16"/>
              </w:rPr>
              <w:t>million and $2.5</w:t>
            </w:r>
            <w:r>
              <w:rPr>
                <w:caps w:val="false"/>
                <w:smallCaps w:val="false"/>
                <w:spacing w:val="4"/>
              </w:rPr>
              <w:t xml:space="preserve"> </w:t>
            </w:r>
            <w:r>
              <w:rPr>
                <w:rFonts w:ascii="Times New Roman;Times;serif" w:hAnsi="Times New Roman;Times;serif"/>
                <w:b w:val="false"/>
                <w:i w:val="false"/>
                <w:caps w:val="false"/>
                <w:smallCaps w:val="false"/>
                <w:spacing w:val="4"/>
                <w:sz w:val="16"/>
              </w:rPr>
              <w:t>million, respectively, of management fees incurred to related parties. For the six months ended June 30, 2026 and 2025, includes $4.4</w:t>
            </w:r>
            <w:r>
              <w:rPr>
                <w:caps w:val="false"/>
                <w:smallCaps w:val="false"/>
                <w:spacing w:val="4"/>
              </w:rPr>
              <w:t xml:space="preserve"> </w:t>
            </w:r>
            <w:r>
              <w:rPr>
                <w:rFonts w:ascii="Times New Roman;Times;serif" w:hAnsi="Times New Roman;Times;serif"/>
                <w:b w:val="false"/>
                <w:i w:val="false"/>
                <w:caps w:val="false"/>
                <w:smallCaps w:val="false"/>
                <w:spacing w:val="4"/>
                <w:sz w:val="16"/>
              </w:rPr>
              <w:t>million and $6.3</w:t>
            </w:r>
            <w:r>
              <w:rPr>
                <w:caps w:val="false"/>
                <w:smallCaps w:val="false"/>
                <w:spacing w:val="4"/>
              </w:rPr>
              <w:t xml:space="preserve"> </w:t>
            </w:r>
            <w:r>
              <w:rPr>
                <w:rFonts w:ascii="Times New Roman;Times;serif" w:hAnsi="Times New Roman;Times;serif"/>
                <w:b w:val="false"/>
                <w:i w:val="false"/>
                <w:caps w:val="false"/>
                <w:smallCaps w:val="false"/>
                <w:spacing w:val="4"/>
                <w:sz w:val="16"/>
              </w:rPr>
              <w:t xml:space="preserve">million, respectively, of management fees incurred to related parties. </w:t>
            </w:r>
          </w:p>
        </w:tc>
      </w:tr>
    </w:tbl>
    <w:p>
      <w:pPr>
        <w:pStyle w:val="TextBody"/>
        <w:bidi w:val="0"/>
        <w:spacing w:before="0" w:after="0"/>
        <w:ind w:left="360" w:right="0" w:hanging="0"/>
        <w:jc w:val="both"/>
        <w:rPr/>
      </w:pPr>
      <w:r>
        <w:rPr/>
        <w:t>​</w:t>
      </w:r>
    </w:p>
    <w:p>
      <w:pPr>
        <w:pStyle w:val="TextBody"/>
        <w:bidi w:val="0"/>
        <w:spacing w:before="0" w:after="0"/>
        <w:ind w:left="360" w:right="0" w:hanging="0"/>
        <w:jc w:val="both"/>
        <w:rPr/>
      </w:pPr>
      <w:r>
        <w:rPr/>
        <w:t>​</w:t>
      </w:r>
    </w:p>
    <w:p>
      <w:pPr>
        <w:pStyle w:val="TextBody"/>
        <w:bidi w:val="0"/>
        <w:spacing w:before="0" w:after="0"/>
        <w:ind w:left="36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0" w:after="240"/>
        <w:ind w:left="0" w:right="0" w:hanging="0"/>
        <w:jc w:val="center"/>
        <w:rPr/>
      </w:pPr>
      <w:bookmarkStart w:id="262" w:name="_0ea3495e_5e75_4c54_93d6_f8914d1d8864"/>
      <w:bookmarkEnd w:id="262"/>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Star Holdings</w:t>
      </w:r>
    </w:p>
    <w:p>
      <w:pPr>
        <w:pStyle w:val="TextBody"/>
        <w:bidi w:val="0"/>
        <w:spacing w:before="0" w:after="0"/>
        <w:ind w:left="0" w:right="0" w:hanging="0"/>
        <w:jc w:val="center"/>
        <w:rPr>
          <w:rFonts w:ascii="Times New Roman;Times;serif" w:hAnsi="Times New Roman;Times;serif"/>
          <w:b/>
          <w:sz w:val="20"/>
        </w:rPr>
      </w:pPr>
      <w:bookmarkStart w:id="263" w:name="StatementsofComprehensiveIncomeLoss_4233"/>
      <w:bookmarkEnd w:id="263"/>
      <w:r>
        <w:rPr>
          <w:rFonts w:ascii="Times New Roman;Times;serif" w:hAnsi="Times New Roman;Times;serif"/>
          <w:b/>
          <w:sz w:val="20"/>
        </w:rPr>
        <w:t>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Normal"/>
        <w:bidi w:val="0"/>
        <w:spacing w:before="0" w:after="0"/>
        <w:jc w:val="left"/>
        <w:rPr>
          <w:sz w:val="4"/>
          <w:szCs w:val="4"/>
        </w:rPr>
      </w:pPr>
      <w:r>
        <w:rPr>
          <w:sz w:val="4"/>
          <w:szCs w:val="4"/>
        </w:rPr>
      </w:r>
      <w:bookmarkStart w:id="264" w:name="Tc_qnwHMwO1H06jmDy_IRBWqQ_9_11"/>
      <w:bookmarkStart w:id="265" w:name="Tc_-uJAFYc53UK8sRa-BUjCBg_9_8"/>
      <w:bookmarkStart w:id="266" w:name="Tc_bPpgZ_vPh0iWDbt673D9Fg_9_5"/>
      <w:bookmarkStart w:id="267" w:name="Tc_auC07QsHgES_gdWX8aII3g_9_2"/>
      <w:bookmarkStart w:id="268" w:name="Tc_AE_7PgKrUEeubd1HE0mn8w_9_0"/>
      <w:bookmarkStart w:id="269" w:name="Tc_PNQgVOBJoEieTVXfRmFm_A_8_0"/>
      <w:bookmarkStart w:id="270" w:name="Tc_ceonNCG-v0aNAPsRIG7O7Q_7_0"/>
      <w:bookmarkStart w:id="271" w:name="Tc_lfi7tKOa90qpCM8dIg8RqQ_6_0"/>
      <w:bookmarkStart w:id="272" w:name="Tc_Azi8vOSARUOl-86sdv9WTg_5_0"/>
      <w:bookmarkStart w:id="273" w:name="Tc_iT0F-y-NjU-fosav1B0wZg_4_0"/>
      <w:bookmarkStart w:id="274" w:name="Tc_Pa1JpOG7i0aHPCa_ytZ-DQ_3_11"/>
      <w:bookmarkStart w:id="275" w:name="Tc_zQRnnE0_wEmZPHji7anlrA_3_8"/>
      <w:bookmarkStart w:id="276" w:name="Tc_V8Ex4VTr8EaM2T_SYZ-ZBg_3_5"/>
      <w:bookmarkStart w:id="277" w:name="Tc_EdrA_jFDnEKGhjNHp4tp3w_3_2"/>
      <w:bookmarkStart w:id="278" w:name="Tc_nJc5XK_nakW19xPYL0WFUQ_3_0"/>
      <w:bookmarkStart w:id="279" w:name="Tc_rYrlcGuGVEe3V1DFkcG7Lg_2_11"/>
      <w:bookmarkStart w:id="280" w:name="Tc_3yeheJxLnEyF_495r6PjfA_2_8"/>
      <w:bookmarkStart w:id="281" w:name="Tc_UUuNmXaIn0iK5GCec-HEWA_2_5"/>
      <w:bookmarkStart w:id="282" w:name="Tc_cgN98ufBA0SwF3YVH7PHQg_2_2"/>
      <w:bookmarkStart w:id="283" w:name="Tc_VGc5Dm25ykmAdKs6OIYKXw_1_8"/>
      <w:bookmarkStart w:id="284" w:name="Tc_XFyiUOlrYUSdBL80-Z_q-A_1_2"/>
      <w:bookmarkStart w:id="285" w:name="_1d9dcba3_a6e2_4e31_98d0_5eec8dc08e6a"/>
      <w:bookmarkStart w:id="286" w:name="Tc_qnwHMwO1H06jmDy_IRBWqQ_9_11"/>
      <w:bookmarkStart w:id="287" w:name="Tc_-uJAFYc53UK8sRa-BUjCBg_9_8"/>
      <w:bookmarkStart w:id="288" w:name="Tc_bPpgZ_vPh0iWDbt673D9Fg_9_5"/>
      <w:bookmarkStart w:id="289" w:name="Tc_auC07QsHgES_gdWX8aII3g_9_2"/>
      <w:bookmarkStart w:id="290" w:name="Tc_AE_7PgKrUEeubd1HE0mn8w_9_0"/>
      <w:bookmarkStart w:id="291" w:name="Tc_PNQgVOBJoEieTVXfRmFm_A_8_0"/>
      <w:bookmarkStart w:id="292" w:name="Tc_ceonNCG-v0aNAPsRIG7O7Q_7_0"/>
      <w:bookmarkStart w:id="293" w:name="Tc_lfi7tKOa90qpCM8dIg8RqQ_6_0"/>
      <w:bookmarkStart w:id="294" w:name="Tc_Azi8vOSARUOl-86sdv9WTg_5_0"/>
      <w:bookmarkStart w:id="295" w:name="Tc_iT0F-y-NjU-fosav1B0wZg_4_0"/>
      <w:bookmarkStart w:id="296" w:name="Tc_Pa1JpOG7i0aHPCa_ytZ-DQ_3_11"/>
      <w:bookmarkStart w:id="297" w:name="Tc_zQRnnE0_wEmZPHji7anlrA_3_8"/>
      <w:bookmarkStart w:id="298" w:name="Tc_V8Ex4VTr8EaM2T_SYZ-ZBg_3_5"/>
      <w:bookmarkStart w:id="299" w:name="Tc_EdrA_jFDnEKGhjNHp4tp3w_3_2"/>
      <w:bookmarkStart w:id="300" w:name="Tc_nJc5XK_nakW19xPYL0WFUQ_3_0"/>
      <w:bookmarkStart w:id="301" w:name="Tc_rYrlcGuGVEe3V1DFkcG7Lg_2_11"/>
      <w:bookmarkStart w:id="302" w:name="Tc_3yeheJxLnEyF_495r6PjfA_2_8"/>
      <w:bookmarkStart w:id="303" w:name="Tc_UUuNmXaIn0iK5GCec-HEWA_2_5"/>
      <w:bookmarkStart w:id="304" w:name="Tc_cgN98ufBA0SwF3YVH7PHQg_2_2"/>
      <w:bookmarkStart w:id="305" w:name="Tc_VGc5Dm25ykmAdKs6OIYKXw_1_8"/>
      <w:bookmarkStart w:id="306" w:name="Tc_XFyiUOlrYUSdBL80-Z_q-A_1_2"/>
      <w:bookmarkStart w:id="307" w:name="_1d9dcba3_a6e2_4e31_98d0_5eec8dc08e6a"/>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tbl>
      <w:tblPr>
        <w:tblW w:w="10205" w:type="dxa"/>
        <w:jc w:val="left"/>
        <w:tblInd w:w="0" w:type="dxa"/>
        <w:tblLayout w:type="fixed"/>
        <w:tblCellMar>
          <w:top w:w="0" w:type="dxa"/>
          <w:left w:w="0" w:type="dxa"/>
          <w:bottom w:w="0" w:type="dxa"/>
          <w:right w:w="0" w:type="dxa"/>
        </w:tblCellMar>
      </w:tblPr>
      <w:tblGrid>
        <w:gridCol w:w="4431"/>
        <w:gridCol w:w="406"/>
        <w:gridCol w:w="253"/>
        <w:gridCol w:w="812"/>
        <w:gridCol w:w="416"/>
        <w:gridCol w:w="253"/>
        <w:gridCol w:w="939"/>
        <w:gridCol w:w="109"/>
        <w:gridCol w:w="240"/>
        <w:gridCol w:w="770"/>
        <w:gridCol w:w="393"/>
        <w:gridCol w:w="240"/>
        <w:gridCol w:w="943"/>
      </w:tblGrid>
      <w:tr>
        <w:trPr/>
        <w:tc>
          <w:tcPr>
            <w:tcW w:w="4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813685" cy="175260"/>
                      <wp:effectExtent l="0" t="0" r="0" b="0"/>
                      <wp:wrapNone/>
                      <wp:docPr id="60" name="Frame60"/>
                      <a:graphic xmlns:a="http://schemas.openxmlformats.org/drawingml/2006/main">
                        <a:graphicData uri="http://schemas.microsoft.com/office/word/2010/wordprocessingShape">
                          <wps:wsp>
                            <wps:cNvSpPr txBox="1"/>
                            <wps:spPr>
                              <a:xfrm>
                                <a:off x="0" y="0"/>
                                <a:ext cx="281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57810" cy="175260"/>
                      <wp:effectExtent l="0" t="0" r="0" b="0"/>
                      <wp:wrapNone/>
                      <wp:docPr id="61" name="Frame6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60655" cy="175260"/>
                      <wp:effectExtent l="0" t="0" r="0" b="0"/>
                      <wp:wrapNone/>
                      <wp:docPr id="62" name="Frame62"/>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15620" cy="175260"/>
                      <wp:effectExtent l="0" t="0" r="0" b="0"/>
                      <wp:wrapNone/>
                      <wp:docPr id="63" name="Frame63"/>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64160" cy="175260"/>
                      <wp:effectExtent l="0" t="0" r="0" b="0"/>
                      <wp:wrapNone/>
                      <wp:docPr id="64" name="Frame64"/>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60655" cy="175260"/>
                      <wp:effectExtent l="0" t="0" r="0" b="0"/>
                      <wp:wrapNone/>
                      <wp:docPr id="65" name="Frame65"/>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96265" cy="175260"/>
                      <wp:effectExtent l="0" t="0" r="0" b="0"/>
                      <wp:wrapNone/>
                      <wp:docPr id="66" name="Frame66"/>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9215" cy="175260"/>
                      <wp:effectExtent l="0" t="0" r="0" b="0"/>
                      <wp:wrapNone/>
                      <wp:docPr id="67" name="Frame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52400" cy="175260"/>
                      <wp:effectExtent l="0" t="0" r="0" b="0"/>
                      <wp:wrapNone/>
                      <wp:docPr id="68" name="Frame68"/>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88950" cy="175260"/>
                      <wp:effectExtent l="0" t="0" r="0" b="0"/>
                      <wp:wrapNone/>
                      <wp:docPr id="69" name="Frame69"/>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49555" cy="175260"/>
                      <wp:effectExtent l="0" t="0" r="0" b="0"/>
                      <wp:wrapNone/>
                      <wp:docPr id="70" name="Frame70"/>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52400" cy="175260"/>
                      <wp:effectExtent l="0" t="0" r="0" b="0"/>
                      <wp:wrapNone/>
                      <wp:docPr id="71" name="Frame7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98805" cy="175260"/>
                      <wp:effectExtent l="0" t="0" r="0" b="0"/>
                      <wp:wrapNone/>
                      <wp:docPr id="72" name="Frame72"/>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3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 ​ ​ ​</w:t>
            </w:r>
          </w:p>
        </w:tc>
        <w:tc>
          <w:tcPr>
            <w:tcW w:w="26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109" w:type="dxa"/>
            <w:tcBorders/>
            <w:vAlign w:val="center"/>
          </w:tcPr>
          <w:p>
            <w:pPr>
              <w:pStyle w:val="TableContents"/>
              <w:bidi w:val="0"/>
              <w:spacing w:before="0" w:after="0"/>
              <w:ind w:left="0" w:right="0" w:hanging="0"/>
              <w:jc w:val="left"/>
              <w:rPr/>
            </w:pPr>
            <w:r>
              <w:rPr/>
              <w:t>​</w:t>
            </w:r>
          </w:p>
        </w:tc>
        <w:tc>
          <w:tcPr>
            <w:tcW w:w="258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443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6" w:type="dxa"/>
            <w:tcBorders/>
            <w:vAlign w:val="center"/>
          </w:tcPr>
          <w:p>
            <w:pPr>
              <w:pStyle w:val="TableContents"/>
              <w:bidi w:val="0"/>
              <w:spacing w:before="0" w:after="0"/>
              <w:ind w:left="0" w:right="0" w:hanging="0"/>
              <w:jc w:val="left"/>
              <w:rPr/>
            </w:pPr>
            <w:r>
              <w:rPr/>
              <w:t>  ​ ​ ​</w:t>
            </w:r>
          </w:p>
        </w:tc>
        <w:tc>
          <w:tcPr>
            <w:tcW w:w="11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3" w:type="dxa"/>
            <w:tcBorders/>
            <w:vAlign w:val="center"/>
          </w:tcPr>
          <w:p>
            <w:pPr>
              <w:pStyle w:val="TableContents"/>
              <w:bidi w:val="0"/>
              <w:spacing w:before="0" w:after="0"/>
              <w:ind w:left="0" w:right="0" w:hanging="0"/>
              <w:jc w:val="left"/>
              <w:rPr/>
            </w:pPr>
            <w:r>
              <w:rPr/>
              <w:t>  ​ ​ ​</w:t>
            </w:r>
          </w:p>
        </w:tc>
        <w:tc>
          <w:tcPr>
            <w:tcW w:w="11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40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41,460</w:t>
            </w:r>
          </w:p>
        </w:tc>
        <w:tc>
          <w:tcPr>
            <w:tcW w:w="41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(39,721)</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27,002</w:t>
            </w:r>
          </w:p>
        </w:tc>
        <w:tc>
          <w:tcPr>
            <w:tcW w:w="393"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(47,767)</w:t>
            </w:r>
          </w:p>
        </w:tc>
      </w:tr>
      <w:tr>
        <w:trPr/>
        <w:tc>
          <w:tcPr>
            <w:tcW w:w="44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w:t>
            </w:r>
          </w:p>
        </w:tc>
        <w:tc>
          <w:tcPr>
            <w:tcW w:w="40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  ​</w:t>
            </w:r>
          </w:p>
        </w:tc>
        <w:tc>
          <w:tcPr>
            <w:tcW w:w="41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pPr>
            <w:r>
              <w:rPr/>
              <w:t>  ​</w:t>
            </w:r>
          </w:p>
        </w:tc>
      </w:tr>
      <w:tr>
        <w:trPr/>
        <w:tc>
          <w:tcPr>
            <w:tcW w:w="4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available-for-sale securities</w:t>
            </w:r>
          </w:p>
        </w:tc>
        <w:tc>
          <w:tcPr>
            <w:tcW w:w="40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1,381</w:t>
            </w:r>
          </w:p>
        </w:tc>
        <w:tc>
          <w:tcPr>
            <w:tcW w:w="41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w:t>
            </w:r>
          </w:p>
        </w:tc>
        <w:tc>
          <w:tcPr>
            <w:tcW w:w="393"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w:t>
            </w:r>
          </w:p>
        </w:tc>
      </w:tr>
      <w:tr>
        <w:trPr/>
        <w:tc>
          <w:tcPr>
            <w:tcW w:w="4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40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1,381</w:t>
            </w:r>
          </w:p>
        </w:tc>
        <w:tc>
          <w:tcPr>
            <w:tcW w:w="41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109"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w:t>
            </w:r>
          </w:p>
        </w:tc>
        <w:tc>
          <w:tcPr>
            <w:tcW w:w="393"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w:t>
            </w:r>
          </w:p>
        </w:tc>
      </w:tr>
      <w:tr>
        <w:trPr/>
        <w:tc>
          <w:tcPr>
            <w:tcW w:w="4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40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42,841</w:t>
            </w:r>
          </w:p>
        </w:tc>
        <w:tc>
          <w:tcPr>
            <w:tcW w:w="41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(40,218)</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27,761</w:t>
            </w:r>
          </w:p>
        </w:tc>
        <w:tc>
          <w:tcPr>
            <w:tcW w:w="393"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(48,858)</w:t>
            </w:r>
          </w:p>
        </w:tc>
      </w:tr>
      <w:tr>
        <w:trPr/>
        <w:tc>
          <w:tcPr>
            <w:tcW w:w="4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 attributable to noncontrolling interests</w:t>
            </w:r>
          </w:p>
        </w:tc>
        <w:tc>
          <w:tcPr>
            <w:tcW w:w="40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1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109"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4,189</w:t>
            </w:r>
          </w:p>
        </w:tc>
        <w:tc>
          <w:tcPr>
            <w:tcW w:w="393"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w:t>
            </w:r>
          </w:p>
        </w:tc>
      </w:tr>
      <w:tr>
        <w:trPr/>
        <w:tc>
          <w:tcPr>
            <w:tcW w:w="4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 attributable to common shareholders</w:t>
            </w:r>
          </w:p>
        </w:tc>
        <w:tc>
          <w:tcPr>
            <w:tcW w:w="406"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42,829</w:t>
            </w:r>
          </w:p>
        </w:tc>
        <w:tc>
          <w:tcPr>
            <w:tcW w:w="416"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(39,805)</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31,950</w:t>
            </w:r>
          </w:p>
        </w:tc>
        <w:tc>
          <w:tcPr>
            <w:tcW w:w="393"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(48,003)</w:t>
            </w:r>
          </w:p>
        </w:tc>
      </w:tr>
    </w:tbl>
    <w:p>
      <w:pPr>
        <w:pStyle w:val="TextBody"/>
        <w:bidi w:val="0"/>
        <w:spacing w:before="0" w:after="0"/>
        <w:ind w:left="360" w:right="0" w:hanging="0"/>
        <w:jc w:val="both"/>
        <w:rPr/>
      </w:pPr>
      <w:r>
        <w:rPr/>
        <w:t>​</w:t>
      </w:r>
    </w:p>
    <w:p>
      <w:pPr>
        <w:pStyle w:val="TextBody"/>
        <w:bidi w:val="0"/>
        <w:spacing w:before="0" w:after="0"/>
        <w:ind w:left="360" w:right="0" w:hanging="0"/>
        <w:jc w:val="center"/>
        <w:rPr/>
      </w:pPr>
      <w:r>
        <w:rPr/>
        <w:t>​</w:t>
      </w:r>
    </w:p>
    <w:p>
      <w:pPr>
        <w:pStyle w:val="TextBody"/>
        <w:bidi w:val="0"/>
        <w:spacing w:before="0" w:after="0"/>
        <w:ind w:left="36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8" w:name="_37b84553_f8a1_462f_9345_d0679a64a90f"/>
      <w:bookmarkEnd w:id="308"/>
      <w:r>
        <w:rPr>
          <w:rFonts w:ascii="Times New Roman;Times;serif" w:hAnsi="Times New Roman;Times;serif"/>
          <w:b/>
          <w:sz w:val="20"/>
        </w:rPr>
        <w:t>Star Holdings</w:t>
      </w:r>
    </w:p>
    <w:p>
      <w:pPr>
        <w:pStyle w:val="TextBody"/>
        <w:bidi w:val="0"/>
        <w:spacing w:before="0" w:after="0"/>
        <w:ind w:left="0" w:right="0" w:hanging="0"/>
        <w:jc w:val="center"/>
        <w:rPr>
          <w:rFonts w:ascii="Times New Roman;Times;serif" w:hAnsi="Times New Roman;Times;serif"/>
          <w:b/>
          <w:sz w:val="20"/>
        </w:rPr>
      </w:pPr>
      <w:bookmarkStart w:id="309" w:name="StatementsofChangesinEquity_733423"/>
      <w:bookmarkEnd w:id="309"/>
      <w:r>
        <w:rPr>
          <w:rFonts w:ascii="Times New Roman;Times;serif" w:hAnsi="Times New Roman;Times;serif"/>
          <w:b/>
          <w:sz w:val="20"/>
        </w:rPr>
        <w:t>Consolidated Statements of Changes in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10" w:name="Tc_kf2gz_IpGkSBCkaR4NaP7w_30_18"/>
      <w:bookmarkStart w:id="311" w:name="Tc_80DhnSc7_EOqCxKid0tuHA_30_14"/>
      <w:bookmarkStart w:id="312" w:name="Tc_N0tfBO8gnUSZLRkBaNUM1A_30_11"/>
      <w:bookmarkStart w:id="313" w:name="Tc_2aE26mSKcEyy9k9_c6wzcQ_30_8"/>
      <w:bookmarkStart w:id="314" w:name="Tc__ywneW9hf0yxyrQYVoAI8A_30_5"/>
      <w:bookmarkStart w:id="315" w:name="Tc_GHtRYNeJYUGgCpiwiDypPA_30_2"/>
      <w:bookmarkStart w:id="316" w:name="Tc_8YqVz_GvjE-xvG2RRhVSUA_30_0"/>
      <w:bookmarkStart w:id="317" w:name="Tc_YhOQCG1DlUOb9SlYyCtWPg_29_15"/>
      <w:bookmarkStart w:id="318" w:name="Tc_-xTzrAr27kmLYS5GB9S4sw_29_12"/>
      <w:bookmarkStart w:id="319" w:name="Tc_OBi0Q73Fhku4MNBCaOnTSg_29_9"/>
      <w:bookmarkStart w:id="320" w:name="Tc_azbk3lVCRE-W6iK1MS5CIw_29_3"/>
      <w:bookmarkStart w:id="321" w:name="Tc_XSPiB42Avk-6x8Mi8adfyQ_29_0"/>
      <w:bookmarkStart w:id="322" w:name="Tc_pqWqpLoBm0KCCAWE_34niQ_28_15"/>
      <w:bookmarkStart w:id="323" w:name="Tc_WIqO59aIiUyMN3q-fdvLFQ_28_9"/>
      <w:bookmarkStart w:id="324" w:name="Tc_Av_pnUj7aUakzVgIaXmXIg_28_6"/>
      <w:bookmarkStart w:id="325" w:name="Tc_6iV7_U9u-k2HMehq4e4yaA_28_3"/>
      <w:bookmarkStart w:id="326" w:name="Tc_GVWHabpm5kCl9wDlZNgoQw_28_0"/>
      <w:bookmarkStart w:id="327" w:name="Tc_Gw0e7zTXuEOLMpMvGT_7Xw_27_12"/>
      <w:bookmarkStart w:id="328" w:name="Tc_P-kfg03K9kSeSDnv4ETIRg_27_6"/>
      <w:bookmarkStart w:id="329" w:name="Tc_zkbCJ1CazkyFTE9crL3Ggg_27_3"/>
      <w:bookmarkStart w:id="330" w:name="Tc_cgWpWsiZJ0CDGrylxzBZgA_27_0"/>
      <w:bookmarkStart w:id="331" w:name="Tc_ZTnxTaulDE2Rt4vXU-0BUg_26_18"/>
      <w:bookmarkStart w:id="332" w:name="Tc_CBwICNxaMUesa7vbkLF9xg_26_14"/>
      <w:bookmarkStart w:id="333" w:name="Tc_TlFz73h-9UuBtF2-SQrzxA_26_11"/>
      <w:bookmarkStart w:id="334" w:name="Tc_jEt2hr7gjk6VYSl6Y8SuPw_26_8"/>
      <w:bookmarkStart w:id="335" w:name="Tc_vG0KAwhv6UOO9y9ZDb4VGg_26_5"/>
      <w:bookmarkStart w:id="336" w:name="Tc_ZMcNGjIZRU2NbESgK9RynA_26_2"/>
      <w:bookmarkStart w:id="337" w:name="Tc_MYNDcxk2mEeYRsMK80fz7g_26_0"/>
      <w:bookmarkStart w:id="338" w:name="Tc_Gftv1cDpjEWlDgXwdy6few_24_18"/>
      <w:bookmarkStart w:id="339" w:name="Tc_WgoaQvu6wUWIHuVe9nlb9w_24_14"/>
      <w:bookmarkStart w:id="340" w:name="Tc_jCS73QXmFkW7jJzBFVU-Ng_24_11"/>
      <w:bookmarkStart w:id="341" w:name="Tc_ZWQOHvCwzU-V-s9KVk9r3g_24_8"/>
      <w:bookmarkStart w:id="342" w:name="Tc_BLKBbR1lAESmdamKnanqEw_24_5"/>
      <w:bookmarkStart w:id="343" w:name="Tc_9jUIrp-SCkqUVjn8A3nzvw_24_2"/>
      <w:bookmarkStart w:id="344" w:name="Tc_JVmC8loKC0iHyeiSxze4zQ_24_0"/>
      <w:bookmarkStart w:id="345" w:name="Tc_ygKZNDVSNUS0nxIE9EqpOA_23_12"/>
      <w:bookmarkStart w:id="346" w:name="Tc_sncoW7PM1kCJu87P6GLsMA_23_9"/>
      <w:bookmarkStart w:id="347" w:name="Tc_ljbmbpqEZEmPM6EenYGhwQ_23_6"/>
      <w:bookmarkStart w:id="348" w:name="Tc_3XELchzKTESsMSqQAs2vUw_23_3"/>
      <w:bookmarkStart w:id="349" w:name="Tc_GDy_A0iOxUS9-Ve635mmTg_23_0"/>
      <w:bookmarkStart w:id="350" w:name="Tc_tOvvdyUrWke6svUwXIEzlg_22_15"/>
      <w:bookmarkStart w:id="351" w:name="Tc_BHy9DTWJCEuUwb1_k7zATg_22_12"/>
      <w:bookmarkStart w:id="352" w:name="Tc_IUUsjhQyMEuaakgSIclfDQ_22_9"/>
      <w:bookmarkStart w:id="353" w:name="Tc_-685dGCAk0agEL_b1VzHpQ_22_3"/>
      <w:bookmarkStart w:id="354" w:name="Tc_9wE5GosDiEKY0xv5QEzPfg_22_0"/>
      <w:bookmarkStart w:id="355" w:name="Tc_agq9GInFh06_E9GVP4kPeQ_21_15"/>
      <w:bookmarkStart w:id="356" w:name="Tc_Nz5QcbzqXEKNKavuGqAn7w_21_9"/>
      <w:bookmarkStart w:id="357" w:name="Tc__JYyB1Jof0i_00AxkSDVrg_21_6"/>
      <w:bookmarkStart w:id="358" w:name="Tc_IU3Xb1OicEyN_WMxVGhMew_21_3"/>
      <w:bookmarkStart w:id="359" w:name="Tc_njIkMsIsV0ufxbpVLNuvXw_21_0"/>
      <w:bookmarkStart w:id="360" w:name="Tc_I7LqukVu5UG8TJNYzPLitA_20_12"/>
      <w:bookmarkStart w:id="361" w:name="Tc_BQHMKBwTB0uEQox_iAqM8g_20_6"/>
      <w:bookmarkStart w:id="362" w:name="Tc_7fNpw7LwSkC1lGW4a6v-MQ_20_3"/>
      <w:bookmarkStart w:id="363" w:name="Tc_D9-yV1O2oEm_a5OmbRZNCw_20_0"/>
      <w:bookmarkStart w:id="364" w:name="Tc_lTigo7eYy0iJrt3T6_e8tg_19_18"/>
      <w:bookmarkStart w:id="365" w:name="Tc_MAyMor9sOUW86i09vIRM5g_19_14"/>
      <w:bookmarkStart w:id="366" w:name="Tc_SDtmEpHhIkWU-ad7Ym03pg_19_11"/>
      <w:bookmarkStart w:id="367" w:name="Tc_xDXstQdnwUedQAIDnC-VIQ_19_8"/>
      <w:bookmarkStart w:id="368" w:name="Tc_OuSePWGE5UqQKi4zyxDY6w_19_5"/>
      <w:bookmarkStart w:id="369" w:name="Tc_3G5Tdw7YQEeFRBWPVOyE2Q_19_2"/>
      <w:bookmarkStart w:id="370" w:name="Tc_qZfCNbfON0ybbOwvq5RLuA_19_0"/>
      <w:bookmarkStart w:id="371" w:name="Tc_AUXzL_TVBkqxCol0NXNRqw_17_18"/>
      <w:bookmarkStart w:id="372" w:name="Tc_gfP86OUYDE62hWgNKrPTkw_17_14"/>
      <w:bookmarkStart w:id="373" w:name="Tc_AH0QYGqjekiCEkTLbRFh5Q_17_11"/>
      <w:bookmarkStart w:id="374" w:name="Tc_ALGZ22QCcEaVgDdqb5_Njg_17_8"/>
      <w:bookmarkStart w:id="375" w:name="Tc_-g9JBnE_PECUuaHxoJMzJQ_17_5"/>
      <w:bookmarkStart w:id="376" w:name="Tc_eGZLcykjwESFKaEZvke6OQ_17_2"/>
      <w:bookmarkStart w:id="377" w:name="Tc_K_8H9N4orEi8Soljke8GHw_17_0"/>
      <w:bookmarkStart w:id="378" w:name="Tc_x_7lb-FTt0W-E1VNk-ybag_16_12"/>
      <w:bookmarkStart w:id="379" w:name="Tc_ymYijOL4tkGBaO9k1328aA_16_9"/>
      <w:bookmarkStart w:id="380" w:name="Tc_rzk1XOjFW0agvjd9CbLFWg_16_6"/>
      <w:bookmarkStart w:id="381" w:name="Tc_C4UMS4EmpkGSQzV88Gt6Gw_16_3"/>
      <w:bookmarkStart w:id="382" w:name="Tc_vWGywZKVg06bsQqT98n_HA_16_0"/>
      <w:bookmarkStart w:id="383" w:name="Tc_w5waxdXyGEGUIj3MgNydKQ_15_15"/>
      <w:bookmarkStart w:id="384" w:name="Tc_pGBz_P_08k2XkwJEYRDn7A_15_12"/>
      <w:bookmarkStart w:id="385" w:name="Tc_7fUP_dJickWokzwIZA7Zdg_15_9"/>
      <w:bookmarkStart w:id="386" w:name="Tc_HPXOFe6C3kiLL2NME2vGVQ_15_3"/>
      <w:bookmarkStart w:id="387" w:name="Tc_TaExrmE6lk2rPgVoVjV7pA_15_0"/>
      <w:bookmarkStart w:id="388" w:name="Tc_zBRjQXmPCUW4Yn6dPfyZig_14_15"/>
      <w:bookmarkStart w:id="389" w:name="Tc_0cdG5_3b00Wp96MwJq9XoA_14_9"/>
      <w:bookmarkStart w:id="390" w:name="Tc_WY3A5otAQ02XqMzMcxF06g_14_6"/>
      <w:bookmarkStart w:id="391" w:name="Tc_bx3ZccZ7qEKU5Z8Vc1cfZQ_14_3"/>
      <w:bookmarkStart w:id="392" w:name="Tc_wRoj__le8k-OUoLyVSViRA_14_0"/>
      <w:bookmarkStart w:id="393" w:name="Tc_6ooEdUstZUeDYClwCyjAxA_13_12"/>
      <w:bookmarkStart w:id="394" w:name="Tc_d99jBqeg30iRlOXnYNOqNg_13_6"/>
      <w:bookmarkStart w:id="395" w:name="Tc__fAxOhZXV0mOSFewkffRoQ_13_3"/>
      <w:bookmarkStart w:id="396" w:name="Tc_GaFqt7VN2E6pcvIXcgfs2g_13_0"/>
      <w:bookmarkStart w:id="397" w:name="Tc_OMR_qym6lESXe_9lYtGSkA_12_18"/>
      <w:bookmarkStart w:id="398" w:name="Tc_TgqUIbvztEO45Ebl-zwecw_12_14"/>
      <w:bookmarkStart w:id="399" w:name="Tc_ghPok4gK1kqVi5AW0-FZeg_12_11"/>
      <w:bookmarkStart w:id="400" w:name="Tc_5C04dEmNAU-bZQdgOnsung_12_8"/>
      <w:bookmarkStart w:id="401" w:name="Tc_4j85Yp7xLUCQPFpHXPsq_Q_12_5"/>
      <w:bookmarkStart w:id="402" w:name="Tc_PrXA-UvQx0ShDELEYMYx2Q_12_2"/>
      <w:bookmarkStart w:id="403" w:name="Tc_K3LrdrOGCEa2F8gQpj6iLQ_12_0"/>
      <w:bookmarkStart w:id="404" w:name="Tc_eDc80O5WQ0iRe8vMVOJmZQ_10_18"/>
      <w:bookmarkStart w:id="405" w:name="Tc_PIgy7gRYjUuqtN7uLcYNlA_10_14"/>
      <w:bookmarkStart w:id="406" w:name="Tc_QeOnkdQQO0alMxOaG-XGqA_10_11"/>
      <w:bookmarkStart w:id="407" w:name="Tc_8zM4bm45SECG6IDJCUkfpg_10_8"/>
      <w:bookmarkStart w:id="408" w:name="Tc_kGBJ7w26C0qEfJ7mOr6h3w_10_5"/>
      <w:bookmarkStart w:id="409" w:name="Tc_rlMzW32-XEuYpTtVjRK7aA_10_2"/>
      <w:bookmarkStart w:id="410" w:name="Tc_Pq03ol5cGU2lYpC66gsmkQ_10_0"/>
      <w:bookmarkStart w:id="411" w:name="Tc_RaIeHN5tzkyyw1yK1ZrSAg_9_12"/>
      <w:bookmarkStart w:id="412" w:name="Tc_saX4T2qImUeWHBTVvZAUzA_9_9"/>
      <w:bookmarkStart w:id="413" w:name="Tc_Dj6sf7K8YkG5hRtmOIQIsw_9_6"/>
      <w:bookmarkStart w:id="414" w:name="Tc_QN_HvWU6TUSqSPCDc-MBKQ_9_3"/>
      <w:bookmarkStart w:id="415" w:name="Tc_Jw7MTVNawU-gVPYyaXik9g_9_0"/>
      <w:bookmarkStart w:id="416" w:name="Tc_2EV_hXgzREad-NbHg6emzg_8_19"/>
      <w:bookmarkStart w:id="417" w:name="Tc_7YFA7fJFb0-zPtVkkXs57w_8_15"/>
      <w:bookmarkStart w:id="418" w:name="Tc_IiMu4lAVukyYfXKhCyo1Nw_8_12"/>
      <w:bookmarkStart w:id="419" w:name="Tc_Q-VUPzg8JkCx_ts6aLP71Q_8_9"/>
      <w:bookmarkStart w:id="420" w:name="Tc_puRN8H-yDEO0FGRgABI4jw_8_6"/>
      <w:bookmarkStart w:id="421" w:name="Tc_OdaYvnmKfUmW-RTWmAq47w_8_3"/>
      <w:bookmarkStart w:id="422" w:name="Tc_O0WJ247SIkadmF5gpCeqbQ_8_0"/>
      <w:bookmarkStart w:id="423" w:name="Tc_iMijLx9SWES2X94mHz5fSQ_7_15"/>
      <w:bookmarkStart w:id="424" w:name="Tc_X6zWmlDiv0ihl4isYpRHUw_7_9"/>
      <w:bookmarkStart w:id="425" w:name="Tc_Lg2xxbz3CUGD8f3xY7Q5OA_7_6"/>
      <w:bookmarkStart w:id="426" w:name="Tc_3eZAPGmTHUWrah9oyyJz9w_7_3"/>
      <w:bookmarkStart w:id="427" w:name="Tc_3mZcyUkcX0m3vbNrWohmyw_7_0"/>
      <w:bookmarkStart w:id="428" w:name="Tc_wRsMraVdcEWTXgp_fptuNg_6_12"/>
      <w:bookmarkStart w:id="429" w:name="Tc_nv0nMuJrskuVEZNqMH0wxQ_6_6"/>
      <w:bookmarkStart w:id="430" w:name="Tc_jZzJ9GCI7U2ORAifNkiEzA_6_3"/>
      <w:bookmarkStart w:id="431" w:name="Tc_tpXFMX_TnE-4BeShB0gsXw_6_0"/>
      <w:bookmarkStart w:id="432" w:name="Tc_kbJcPibLF0mUP6yiCUvW5Q_5_18"/>
      <w:bookmarkStart w:id="433" w:name="Tc_G8kXj6mol0ejw-zSuRkeFQ_5_14"/>
      <w:bookmarkStart w:id="434" w:name="Tc_pcxMRYN_Mk-sa7IIgn298Q_5_11"/>
      <w:bookmarkStart w:id="435" w:name="Tc_k1Mp0RDvs0i2ijzjJWVByQ_5_8"/>
      <w:bookmarkStart w:id="436" w:name="Tc_zcnaTN9qmkG_OLyEd4mIYA_5_5"/>
      <w:bookmarkStart w:id="437" w:name="Tc_lvieSyNcc0aIu12yltctrg_5_2"/>
      <w:bookmarkStart w:id="438" w:name="Tc_p4tjdcuraEyAak0bzRJidQ_5_0"/>
      <w:bookmarkStart w:id="439" w:name="Tc_es_1lKcU7kiSQhtCXxhVQw_4_18"/>
      <w:bookmarkStart w:id="440" w:name="Tc_uR-T1JKJRECD2jUbUCcgEg_4_15"/>
      <w:bookmarkStart w:id="441" w:name="Tc_m2aUuWkLfkaNy3Bf7f4K6A_4_11"/>
      <w:bookmarkStart w:id="442" w:name="Tc_xq3YUSU3Vkmx8sv-a97xEA_4_9"/>
      <w:bookmarkStart w:id="443" w:name="Tc_HU8q-16LT0GjHZ5d7gnhNg_4_6"/>
      <w:bookmarkStart w:id="444" w:name="Tc_CVhBHWuUekec9Bi6uyGPXw_4_3"/>
      <w:bookmarkStart w:id="445" w:name="Tc_AmvLmtZDb0qp4_lZNf0NGA_3_18"/>
      <w:bookmarkStart w:id="446" w:name="Tc_usWj1WP0pk-HtGDKFXYLBw_3_15"/>
      <w:bookmarkStart w:id="447" w:name="Tc_QNs-JcSJJU2nWYeSnRvdNA_3_11"/>
      <w:bookmarkStart w:id="448" w:name="Tc_9qwqCPxdHESsWEQXm4Nvew_3_9"/>
      <w:bookmarkStart w:id="449" w:name="Tc_1beoBUe2YUa94cBgOYA6lQ_3_6"/>
      <w:bookmarkStart w:id="450" w:name="Tc_pfLZHxHgx0CbZsACWaSbyA_3_3"/>
      <w:bookmarkStart w:id="451" w:name="Tc_IrqzQABNOkaKbioC8Uuemg_2_11"/>
      <w:bookmarkStart w:id="452" w:name="Tc_UG6LxK-ugk2wUin8TARiWQ_2_6"/>
      <w:bookmarkStart w:id="453" w:name="Tc_Ixo-qj31pUab8BZrSPxpHg_2_3"/>
      <w:bookmarkStart w:id="454" w:name="_ff5c115e_e794_40df_b7e5_053d432842c4"/>
      <w:bookmarkStart w:id="455" w:name="Tc_kf2gz_IpGkSBCkaR4NaP7w_30_18"/>
      <w:bookmarkStart w:id="456" w:name="Tc_80DhnSc7_EOqCxKid0tuHA_30_14"/>
      <w:bookmarkStart w:id="457" w:name="Tc_N0tfBO8gnUSZLRkBaNUM1A_30_11"/>
      <w:bookmarkStart w:id="458" w:name="Tc_2aE26mSKcEyy9k9_c6wzcQ_30_8"/>
      <w:bookmarkStart w:id="459" w:name="Tc__ywneW9hf0yxyrQYVoAI8A_30_5"/>
      <w:bookmarkStart w:id="460" w:name="Tc_GHtRYNeJYUGgCpiwiDypPA_30_2"/>
      <w:bookmarkStart w:id="461" w:name="Tc_8YqVz_GvjE-xvG2RRhVSUA_30_0"/>
      <w:bookmarkStart w:id="462" w:name="Tc_YhOQCG1DlUOb9SlYyCtWPg_29_15"/>
      <w:bookmarkStart w:id="463" w:name="Tc_-xTzrAr27kmLYS5GB9S4sw_29_12"/>
      <w:bookmarkStart w:id="464" w:name="Tc_OBi0Q73Fhku4MNBCaOnTSg_29_9"/>
      <w:bookmarkStart w:id="465" w:name="Tc_azbk3lVCRE-W6iK1MS5CIw_29_3"/>
      <w:bookmarkStart w:id="466" w:name="Tc_XSPiB42Avk-6x8Mi8adfyQ_29_0"/>
      <w:bookmarkStart w:id="467" w:name="Tc_pqWqpLoBm0KCCAWE_34niQ_28_15"/>
      <w:bookmarkStart w:id="468" w:name="Tc_WIqO59aIiUyMN3q-fdvLFQ_28_9"/>
      <w:bookmarkStart w:id="469" w:name="Tc_Av_pnUj7aUakzVgIaXmXIg_28_6"/>
      <w:bookmarkStart w:id="470" w:name="Tc_6iV7_U9u-k2HMehq4e4yaA_28_3"/>
      <w:bookmarkStart w:id="471" w:name="Tc_GVWHabpm5kCl9wDlZNgoQw_28_0"/>
      <w:bookmarkStart w:id="472" w:name="Tc_Gw0e7zTXuEOLMpMvGT_7Xw_27_12"/>
      <w:bookmarkStart w:id="473" w:name="Tc_P-kfg03K9kSeSDnv4ETIRg_27_6"/>
      <w:bookmarkStart w:id="474" w:name="Tc_zkbCJ1CazkyFTE9crL3Ggg_27_3"/>
      <w:bookmarkStart w:id="475" w:name="Tc_cgWpWsiZJ0CDGrylxzBZgA_27_0"/>
      <w:bookmarkStart w:id="476" w:name="Tc_ZTnxTaulDE2Rt4vXU-0BUg_26_18"/>
      <w:bookmarkStart w:id="477" w:name="Tc_CBwICNxaMUesa7vbkLF9xg_26_14"/>
      <w:bookmarkStart w:id="478" w:name="Tc_TlFz73h-9UuBtF2-SQrzxA_26_11"/>
      <w:bookmarkStart w:id="479" w:name="Tc_jEt2hr7gjk6VYSl6Y8SuPw_26_8"/>
      <w:bookmarkStart w:id="480" w:name="Tc_vG0KAwhv6UOO9y9ZDb4VGg_26_5"/>
      <w:bookmarkStart w:id="481" w:name="Tc_ZMcNGjIZRU2NbESgK9RynA_26_2"/>
      <w:bookmarkStart w:id="482" w:name="Tc_MYNDcxk2mEeYRsMK80fz7g_26_0"/>
      <w:bookmarkStart w:id="483" w:name="Tc_Gftv1cDpjEWlDgXwdy6few_24_18"/>
      <w:bookmarkStart w:id="484" w:name="Tc_WgoaQvu6wUWIHuVe9nlb9w_24_14"/>
      <w:bookmarkStart w:id="485" w:name="Tc_jCS73QXmFkW7jJzBFVU-Ng_24_11"/>
      <w:bookmarkStart w:id="486" w:name="Tc_ZWQOHvCwzU-V-s9KVk9r3g_24_8"/>
      <w:bookmarkStart w:id="487" w:name="Tc_BLKBbR1lAESmdamKnanqEw_24_5"/>
      <w:bookmarkStart w:id="488" w:name="Tc_9jUIrp-SCkqUVjn8A3nzvw_24_2"/>
      <w:bookmarkStart w:id="489" w:name="Tc_JVmC8loKC0iHyeiSxze4zQ_24_0"/>
      <w:bookmarkStart w:id="490" w:name="Tc_ygKZNDVSNUS0nxIE9EqpOA_23_12"/>
      <w:bookmarkStart w:id="491" w:name="Tc_sncoW7PM1kCJu87P6GLsMA_23_9"/>
      <w:bookmarkStart w:id="492" w:name="Tc_ljbmbpqEZEmPM6EenYGhwQ_23_6"/>
      <w:bookmarkStart w:id="493" w:name="Tc_3XELchzKTESsMSqQAs2vUw_23_3"/>
      <w:bookmarkStart w:id="494" w:name="Tc_GDy_A0iOxUS9-Ve635mmTg_23_0"/>
      <w:bookmarkStart w:id="495" w:name="Tc_tOvvdyUrWke6svUwXIEzlg_22_15"/>
      <w:bookmarkStart w:id="496" w:name="Tc_BHy9DTWJCEuUwb1_k7zATg_22_12"/>
      <w:bookmarkStart w:id="497" w:name="Tc_IUUsjhQyMEuaakgSIclfDQ_22_9"/>
      <w:bookmarkStart w:id="498" w:name="Tc_-685dGCAk0agEL_b1VzHpQ_22_3"/>
      <w:bookmarkStart w:id="499" w:name="Tc_9wE5GosDiEKY0xv5QEzPfg_22_0"/>
      <w:bookmarkStart w:id="500" w:name="Tc_agq9GInFh06_E9GVP4kPeQ_21_15"/>
      <w:bookmarkStart w:id="501" w:name="Tc_Nz5QcbzqXEKNKavuGqAn7w_21_9"/>
      <w:bookmarkStart w:id="502" w:name="Tc__JYyB1Jof0i_00AxkSDVrg_21_6"/>
      <w:bookmarkStart w:id="503" w:name="Tc_IU3Xb1OicEyN_WMxVGhMew_21_3"/>
      <w:bookmarkStart w:id="504" w:name="Tc_njIkMsIsV0ufxbpVLNuvXw_21_0"/>
      <w:bookmarkStart w:id="505" w:name="Tc_I7LqukVu5UG8TJNYzPLitA_20_12"/>
      <w:bookmarkStart w:id="506" w:name="Tc_BQHMKBwTB0uEQox_iAqM8g_20_6"/>
      <w:bookmarkStart w:id="507" w:name="Tc_7fNpw7LwSkC1lGW4a6v-MQ_20_3"/>
      <w:bookmarkStart w:id="508" w:name="Tc_D9-yV1O2oEm_a5OmbRZNCw_20_0"/>
      <w:bookmarkStart w:id="509" w:name="Tc_lTigo7eYy0iJrt3T6_e8tg_19_18"/>
      <w:bookmarkStart w:id="510" w:name="Tc_MAyMor9sOUW86i09vIRM5g_19_14"/>
      <w:bookmarkStart w:id="511" w:name="Tc_SDtmEpHhIkWU-ad7Ym03pg_19_11"/>
      <w:bookmarkStart w:id="512" w:name="Tc_xDXstQdnwUedQAIDnC-VIQ_19_8"/>
      <w:bookmarkStart w:id="513" w:name="Tc_OuSePWGE5UqQKi4zyxDY6w_19_5"/>
      <w:bookmarkStart w:id="514" w:name="Tc_3G5Tdw7YQEeFRBWPVOyE2Q_19_2"/>
      <w:bookmarkStart w:id="515" w:name="Tc_qZfCNbfON0ybbOwvq5RLuA_19_0"/>
      <w:bookmarkStart w:id="516" w:name="Tc_AUXzL_TVBkqxCol0NXNRqw_17_18"/>
      <w:bookmarkStart w:id="517" w:name="Tc_gfP86OUYDE62hWgNKrPTkw_17_14"/>
      <w:bookmarkStart w:id="518" w:name="Tc_AH0QYGqjekiCEkTLbRFh5Q_17_11"/>
      <w:bookmarkStart w:id="519" w:name="Tc_ALGZ22QCcEaVgDdqb5_Njg_17_8"/>
      <w:bookmarkStart w:id="520" w:name="Tc_-g9JBnE_PECUuaHxoJMzJQ_17_5"/>
      <w:bookmarkStart w:id="521" w:name="Tc_eGZLcykjwESFKaEZvke6OQ_17_2"/>
      <w:bookmarkStart w:id="522" w:name="Tc_K_8H9N4orEi8Soljke8GHw_17_0"/>
      <w:bookmarkStart w:id="523" w:name="Tc_x_7lb-FTt0W-E1VNk-ybag_16_12"/>
      <w:bookmarkStart w:id="524" w:name="Tc_ymYijOL4tkGBaO9k1328aA_16_9"/>
      <w:bookmarkStart w:id="525" w:name="Tc_rzk1XOjFW0agvjd9CbLFWg_16_6"/>
      <w:bookmarkStart w:id="526" w:name="Tc_C4UMS4EmpkGSQzV88Gt6Gw_16_3"/>
      <w:bookmarkStart w:id="527" w:name="Tc_vWGywZKVg06bsQqT98n_HA_16_0"/>
      <w:bookmarkStart w:id="528" w:name="Tc_w5waxdXyGEGUIj3MgNydKQ_15_15"/>
      <w:bookmarkStart w:id="529" w:name="Tc_pGBz_P_08k2XkwJEYRDn7A_15_12"/>
      <w:bookmarkStart w:id="530" w:name="Tc_7fUP_dJickWokzwIZA7Zdg_15_9"/>
      <w:bookmarkStart w:id="531" w:name="Tc_HPXOFe6C3kiLL2NME2vGVQ_15_3"/>
      <w:bookmarkStart w:id="532" w:name="Tc_TaExrmE6lk2rPgVoVjV7pA_15_0"/>
      <w:bookmarkStart w:id="533" w:name="Tc_zBRjQXmPCUW4Yn6dPfyZig_14_15"/>
      <w:bookmarkStart w:id="534" w:name="Tc_0cdG5_3b00Wp96MwJq9XoA_14_9"/>
      <w:bookmarkStart w:id="535" w:name="Tc_WY3A5otAQ02XqMzMcxF06g_14_6"/>
      <w:bookmarkStart w:id="536" w:name="Tc_bx3ZccZ7qEKU5Z8Vc1cfZQ_14_3"/>
      <w:bookmarkStart w:id="537" w:name="Tc_wRoj__le8k-OUoLyVSViRA_14_0"/>
      <w:bookmarkStart w:id="538" w:name="Tc_6ooEdUstZUeDYClwCyjAxA_13_12"/>
      <w:bookmarkStart w:id="539" w:name="Tc_d99jBqeg30iRlOXnYNOqNg_13_6"/>
      <w:bookmarkStart w:id="540" w:name="Tc__fAxOhZXV0mOSFewkffRoQ_13_3"/>
      <w:bookmarkStart w:id="541" w:name="Tc_GaFqt7VN2E6pcvIXcgfs2g_13_0"/>
      <w:bookmarkStart w:id="542" w:name="Tc_OMR_qym6lESXe_9lYtGSkA_12_18"/>
      <w:bookmarkStart w:id="543" w:name="Tc_TgqUIbvztEO45Ebl-zwecw_12_14"/>
      <w:bookmarkStart w:id="544" w:name="Tc_ghPok4gK1kqVi5AW0-FZeg_12_11"/>
      <w:bookmarkStart w:id="545" w:name="Tc_5C04dEmNAU-bZQdgOnsung_12_8"/>
      <w:bookmarkStart w:id="546" w:name="Tc_4j85Yp7xLUCQPFpHXPsq_Q_12_5"/>
      <w:bookmarkStart w:id="547" w:name="Tc_PrXA-UvQx0ShDELEYMYx2Q_12_2"/>
      <w:bookmarkStart w:id="548" w:name="Tc_K3LrdrOGCEa2F8gQpj6iLQ_12_0"/>
      <w:bookmarkStart w:id="549" w:name="Tc_eDc80O5WQ0iRe8vMVOJmZQ_10_18"/>
      <w:bookmarkStart w:id="550" w:name="Tc_PIgy7gRYjUuqtN7uLcYNlA_10_14"/>
      <w:bookmarkStart w:id="551" w:name="Tc_QeOnkdQQO0alMxOaG-XGqA_10_11"/>
      <w:bookmarkStart w:id="552" w:name="Tc_8zM4bm45SECG6IDJCUkfpg_10_8"/>
      <w:bookmarkStart w:id="553" w:name="Tc_kGBJ7w26C0qEfJ7mOr6h3w_10_5"/>
      <w:bookmarkStart w:id="554" w:name="Tc_rlMzW32-XEuYpTtVjRK7aA_10_2"/>
      <w:bookmarkStart w:id="555" w:name="Tc_Pq03ol5cGU2lYpC66gsmkQ_10_0"/>
      <w:bookmarkStart w:id="556" w:name="Tc_RaIeHN5tzkyyw1yK1ZrSAg_9_12"/>
      <w:bookmarkStart w:id="557" w:name="Tc_saX4T2qImUeWHBTVvZAUzA_9_9"/>
      <w:bookmarkStart w:id="558" w:name="Tc_Dj6sf7K8YkG5hRtmOIQIsw_9_6"/>
      <w:bookmarkStart w:id="559" w:name="Tc_QN_HvWU6TUSqSPCDc-MBKQ_9_3"/>
      <w:bookmarkStart w:id="560" w:name="Tc_Jw7MTVNawU-gVPYyaXik9g_9_0"/>
      <w:bookmarkStart w:id="561" w:name="Tc_2EV_hXgzREad-NbHg6emzg_8_19"/>
      <w:bookmarkStart w:id="562" w:name="Tc_7YFA7fJFb0-zPtVkkXs57w_8_15"/>
      <w:bookmarkStart w:id="563" w:name="Tc_IiMu4lAVukyYfXKhCyo1Nw_8_12"/>
      <w:bookmarkStart w:id="564" w:name="Tc_Q-VUPzg8JkCx_ts6aLP71Q_8_9"/>
      <w:bookmarkStart w:id="565" w:name="Tc_puRN8H-yDEO0FGRgABI4jw_8_6"/>
      <w:bookmarkStart w:id="566" w:name="Tc_OdaYvnmKfUmW-RTWmAq47w_8_3"/>
      <w:bookmarkStart w:id="567" w:name="Tc_O0WJ247SIkadmF5gpCeqbQ_8_0"/>
      <w:bookmarkStart w:id="568" w:name="Tc_iMijLx9SWES2X94mHz5fSQ_7_15"/>
      <w:bookmarkStart w:id="569" w:name="Tc_X6zWmlDiv0ihl4isYpRHUw_7_9"/>
      <w:bookmarkStart w:id="570" w:name="Tc_Lg2xxbz3CUGD8f3xY7Q5OA_7_6"/>
      <w:bookmarkStart w:id="571" w:name="Tc_3eZAPGmTHUWrah9oyyJz9w_7_3"/>
      <w:bookmarkStart w:id="572" w:name="Tc_3mZcyUkcX0m3vbNrWohmyw_7_0"/>
      <w:bookmarkStart w:id="573" w:name="Tc_wRsMraVdcEWTXgp_fptuNg_6_12"/>
      <w:bookmarkStart w:id="574" w:name="Tc_nv0nMuJrskuVEZNqMH0wxQ_6_6"/>
      <w:bookmarkStart w:id="575" w:name="Tc_jZzJ9GCI7U2ORAifNkiEzA_6_3"/>
      <w:bookmarkStart w:id="576" w:name="Tc_tpXFMX_TnE-4BeShB0gsXw_6_0"/>
      <w:bookmarkStart w:id="577" w:name="Tc_kbJcPibLF0mUP6yiCUvW5Q_5_18"/>
      <w:bookmarkStart w:id="578" w:name="Tc_G8kXj6mol0ejw-zSuRkeFQ_5_14"/>
      <w:bookmarkStart w:id="579" w:name="Tc_pcxMRYN_Mk-sa7IIgn298Q_5_11"/>
      <w:bookmarkStart w:id="580" w:name="Tc_k1Mp0RDvs0i2ijzjJWVByQ_5_8"/>
      <w:bookmarkStart w:id="581" w:name="Tc_zcnaTN9qmkG_OLyEd4mIYA_5_5"/>
      <w:bookmarkStart w:id="582" w:name="Tc_lvieSyNcc0aIu12yltctrg_5_2"/>
      <w:bookmarkStart w:id="583" w:name="Tc_p4tjdcuraEyAak0bzRJidQ_5_0"/>
      <w:bookmarkStart w:id="584" w:name="Tc_es_1lKcU7kiSQhtCXxhVQw_4_18"/>
      <w:bookmarkStart w:id="585" w:name="Tc_uR-T1JKJRECD2jUbUCcgEg_4_15"/>
      <w:bookmarkStart w:id="586" w:name="Tc_m2aUuWkLfkaNy3Bf7f4K6A_4_11"/>
      <w:bookmarkStart w:id="587" w:name="Tc_xq3YUSU3Vkmx8sv-a97xEA_4_9"/>
      <w:bookmarkStart w:id="588" w:name="Tc_HU8q-16LT0GjHZ5d7gnhNg_4_6"/>
      <w:bookmarkStart w:id="589" w:name="Tc_CVhBHWuUekec9Bi6uyGPXw_4_3"/>
      <w:bookmarkStart w:id="590" w:name="Tc_AmvLmtZDb0qp4_lZNf0NGA_3_18"/>
      <w:bookmarkStart w:id="591" w:name="Tc_usWj1WP0pk-HtGDKFXYLBw_3_15"/>
      <w:bookmarkStart w:id="592" w:name="Tc_QNs-JcSJJU2nWYeSnRvdNA_3_11"/>
      <w:bookmarkStart w:id="593" w:name="Tc_9qwqCPxdHESsWEQXm4Nvew_3_9"/>
      <w:bookmarkStart w:id="594" w:name="Tc_1beoBUe2YUa94cBgOYA6lQ_3_6"/>
      <w:bookmarkStart w:id="595" w:name="Tc_pfLZHxHgx0CbZsACWaSbyA_3_3"/>
      <w:bookmarkStart w:id="596" w:name="Tc_IrqzQABNOkaKbioC8Uuemg_2_11"/>
      <w:bookmarkStart w:id="597" w:name="Tc_UG6LxK-ugk2wUin8TARiWQ_2_6"/>
      <w:bookmarkStart w:id="598" w:name="Tc_Ixo-qj31pUab8BZrSPxpHg_2_3"/>
      <w:bookmarkStart w:id="599" w:name="_ff5c115e_e794_40df_b7e5_053d432842c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tbl>
      <w:tblPr>
        <w:tblW w:w="10474" w:type="dxa"/>
        <w:jc w:val="left"/>
        <w:tblInd w:w="0" w:type="dxa"/>
        <w:tblLayout w:type="fixed"/>
        <w:tblCellMar>
          <w:top w:w="0" w:type="dxa"/>
          <w:left w:w="0" w:type="dxa"/>
          <w:bottom w:w="0" w:type="dxa"/>
          <w:right w:w="0" w:type="dxa"/>
        </w:tblCellMar>
      </w:tblPr>
      <w:tblGrid>
        <w:gridCol w:w="1171"/>
        <w:gridCol w:w="346"/>
        <w:gridCol w:w="196"/>
        <w:gridCol w:w="766"/>
        <w:gridCol w:w="346"/>
        <w:gridCol w:w="196"/>
        <w:gridCol w:w="871"/>
        <w:gridCol w:w="346"/>
        <w:gridCol w:w="196"/>
        <w:gridCol w:w="1051"/>
        <w:gridCol w:w="346"/>
        <w:gridCol w:w="310"/>
        <w:gridCol w:w="906"/>
        <w:gridCol w:w="346"/>
        <w:gridCol w:w="196"/>
        <w:gridCol w:w="1201"/>
        <w:gridCol w:w="346"/>
        <w:gridCol w:w="346"/>
        <w:gridCol w:w="196"/>
        <w:gridCol w:w="796"/>
      </w:tblGrid>
      <w:tr>
        <w:trPr/>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743585" cy="175260"/>
                      <wp:effectExtent l="0" t="0" r="0" b="0"/>
                      <wp:wrapNone/>
                      <wp:docPr id="73" name="Frame73"/>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24460" cy="175260"/>
                      <wp:effectExtent l="0" t="0" r="0" b="0"/>
                      <wp:wrapNone/>
                      <wp:docPr id="75" name="Frame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86410" cy="175260"/>
                      <wp:effectExtent l="0" t="0" r="0" b="0"/>
                      <wp:wrapNone/>
                      <wp:docPr id="76" name="Frame7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24460" cy="175260"/>
                      <wp:effectExtent l="0" t="0" r="0" b="0"/>
                      <wp:wrapNone/>
                      <wp:docPr id="78" name="Frame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53085" cy="175260"/>
                      <wp:effectExtent l="0" t="0" r="0" b="0"/>
                      <wp:wrapNone/>
                      <wp:docPr id="79" name="Frame7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24460" cy="175260"/>
                      <wp:effectExtent l="0" t="0" r="0" b="0"/>
                      <wp:wrapNone/>
                      <wp:docPr id="81" name="Frame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67385" cy="175260"/>
                      <wp:effectExtent l="0" t="0" r="0" b="0"/>
                      <wp:wrapNone/>
                      <wp:docPr id="82" name="Frame8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96850" cy="175260"/>
                      <wp:effectExtent l="0" t="0" r="0" b="0"/>
                      <wp:wrapNone/>
                      <wp:docPr id="84" name="Frame84"/>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75310" cy="175260"/>
                      <wp:effectExtent l="0" t="0" r="0" b="0"/>
                      <wp:wrapNone/>
                      <wp:docPr id="85" name="Frame85"/>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24460" cy="175260"/>
                      <wp:effectExtent l="0" t="0" r="0" b="0"/>
                      <wp:wrapNone/>
                      <wp:docPr id="87" name="Frame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762635" cy="175260"/>
                      <wp:effectExtent l="0" t="0" r="0" b="0"/>
                      <wp:wrapNone/>
                      <wp:docPr id="88" name="Frame88"/>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24460" cy="175260"/>
                      <wp:effectExtent l="0" t="0" r="0" b="0"/>
                      <wp:wrapNone/>
                      <wp:docPr id="91" name="Frame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05460" cy="175260"/>
                      <wp:effectExtent l="0" t="0" r="0" b="0"/>
                      <wp:wrapNone/>
                      <wp:docPr id="92" name="Frame9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530" w:type="dxa"/>
            <w:gridSpan w:val="11"/>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at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Comprehensive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w:t>
            </w:r>
          </w:p>
        </w:tc>
        <w:tc>
          <w:tcPr>
            <w:tcW w:w="346" w:type="dxa"/>
            <w:tcBorders/>
            <w:vAlign w:val="center"/>
          </w:tcPr>
          <w:p>
            <w:pPr>
              <w:pStyle w:val="TableContents"/>
              <w:bidi w:val="0"/>
              <w:spacing w:before="0" w:after="0"/>
              <w:ind w:left="0" w:right="0" w:hanging="0"/>
              <w:jc w:val="left"/>
              <w:rPr/>
            </w:pPr>
            <w:r>
              <w:rPr/>
              <w:t>  ​ ​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0"/>
              <w:ind w:left="0" w:right="0" w:hanging="0"/>
              <w:jc w:val="left"/>
              <w:rPr/>
            </w:pPr>
            <w:r>
              <w:rPr/>
              <w:t>  ​ ​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  ​ ​ ​</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as of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597,625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(357,702)</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1,264</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240,153</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41,448</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41,460</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accumulated 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1,381</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stock</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as of June 30, 2026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597,625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(316,254)</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1,261</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282,979</w:t>
            </w:r>
          </w:p>
        </w:tc>
      </w:tr>
      <w:tr>
        <w:trPr/>
        <w:tc>
          <w:tcPr>
            <w:tcW w:w="11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lef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as of March 31, 2025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607,623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(290,800)</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20,231</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336,369</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(39,308)</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(39,721)</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accumulated other comprehensive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stock</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noncontrolling interests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as of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607,434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(330,108)</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19,805</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295,949</w:t>
            </w:r>
          </w:p>
        </w:tc>
      </w:tr>
      <w:tr>
        <w:trPr/>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as of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599,623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(347,445)</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14,100</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265,866</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31,191</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(4,189)</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27,002</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accumulated 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759</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stock</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(1,998)</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noncontrolling interests (refer to Note 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(8,650)</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(8,650)</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as of June 30, 2026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597,625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(316,254)</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1,261</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282,979</w:t>
            </w:r>
          </w:p>
        </w:tc>
      </w:tr>
      <w:tr>
        <w:trPr/>
        <w:tc>
          <w:tcPr>
            <w:tcW w:w="11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as of December 31, 2024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607,623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(283,196)</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20,660</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344,996</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(46,912)</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(855)</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(47,767)</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accumulated other comprehensive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(1,091)</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stock</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as of June 30, 2025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607,434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(330,108)</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19,805</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295,949</w:t>
            </w:r>
          </w:p>
        </w:tc>
      </w:tr>
    </w:tbl>
    <w:p>
      <w:pPr>
        <w:pStyle w:val="TextBody"/>
        <w:bidi w:val="0"/>
        <w:spacing w:before="0" w:after="100"/>
        <w:ind w:left="360" w:right="0" w:hanging="0"/>
        <w:jc w:val="both"/>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00" w:name="_6b183a3f_3907_4f16_b0e3_c4eb782aa037"/>
      <w:bookmarkEnd w:id="600"/>
      <w:r>
        <w:rPr>
          <w:rFonts w:ascii="Times New Roman;Times;serif" w:hAnsi="Times New Roman;Times;serif"/>
          <w:b/>
          <w:sz w:val="20"/>
        </w:rPr>
        <w:t>Star Holdings</w:t>
      </w:r>
    </w:p>
    <w:p>
      <w:pPr>
        <w:pStyle w:val="TextBody"/>
        <w:bidi w:val="0"/>
        <w:spacing w:before="0" w:after="0"/>
        <w:ind w:left="0" w:right="0" w:hanging="0"/>
        <w:jc w:val="center"/>
        <w:rPr>
          <w:rFonts w:ascii="Times New Roman;Times;serif" w:hAnsi="Times New Roman;Times;serif"/>
          <w:b/>
          <w:sz w:val="20"/>
        </w:rPr>
      </w:pPr>
      <w:bookmarkStart w:id="601" w:name="CashFlows_705700"/>
      <w:bookmarkEnd w:id="601"/>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602" w:name="Tc_Zc6SIGvZeEemE9rx0Eo74w_40_5"/>
      <w:bookmarkStart w:id="603" w:name="Tc_lCcsLOSGwky4m6y6I9YU6g_40_2"/>
      <w:bookmarkStart w:id="604" w:name="Tc_UmN9fNRHH0yEXaZqGstWJQ_40_0"/>
      <w:bookmarkStart w:id="605" w:name="Tc_ZK6SOXxElEapZXj0Y2PZ5A_39_0"/>
      <w:bookmarkStart w:id="606" w:name="Tc_65RrDErHt0q7MgIbkAQlSg_38_0"/>
      <w:bookmarkStart w:id="607" w:name="Tc_FXiSuQqLlkGPlGyQ_gFubQ_37_0"/>
      <w:bookmarkStart w:id="608" w:name="Tc_dDdzSNIoaUmFe-uvVuuZzQ_36_0"/>
      <w:bookmarkStart w:id="609" w:name="Tc_QQL5VhVlPEy-0inKh5-AJQ_35_0"/>
      <w:bookmarkStart w:id="610" w:name="Tc_2x8UozwZJkCYkcgJAxdU4A_34_3"/>
      <w:bookmarkStart w:id="611" w:name="Tc_SetACUzlWEi7CKpOQi0VVQ_34_0"/>
      <w:bookmarkStart w:id="612" w:name="Tc_e_0sKvzgx0WeiaTdJmmxFQ_33_0"/>
      <w:bookmarkStart w:id="613" w:name="Tc__QdRxNvSK0m8SpsRhLxJPQ_32_3"/>
      <w:bookmarkStart w:id="614" w:name="Tc_iPWpY_8Gkkmv3Z6lDVMFrg_32_0"/>
      <w:bookmarkStart w:id="615" w:name="Tc_ckUncghp9kqIjmMhHikYlw_31_0"/>
      <w:bookmarkStart w:id="616" w:name="Tc_L01o2-iWO0i5VS2AzNuJig_30_0"/>
      <w:bookmarkStart w:id="617" w:name="Tc_Q0_5PYfDyky-84VF0DJ0dQ_29_0"/>
      <w:bookmarkStart w:id="618" w:name="Tc_E0rDmo4GQkONLdWYcgBd8A_28_0"/>
      <w:bookmarkStart w:id="619" w:name="Tc_Xq3Z52rLPU-rGjggtRkUmQ_27_6"/>
      <w:bookmarkStart w:id="620" w:name="Tc_rhONYFzYzk2-QqoRtgPibw_27_0"/>
      <w:bookmarkStart w:id="621" w:name="Tc_o8NLOb_h9ECzWTg9GD-1gA_26_0"/>
      <w:bookmarkStart w:id="622" w:name="Tc_ZtbWfqKYzUGPFCdQ0bNBgw_25_0"/>
      <w:bookmarkStart w:id="623" w:name="Tc_4n5r8dFp10CNVh41hXZX-Q_24_0"/>
      <w:bookmarkStart w:id="624" w:name="Tc_oVAt-GlD6kSWiL_fAtAlMQ_23_0"/>
      <w:bookmarkStart w:id="625" w:name="Tc_qb6WcDH9PkaQX94w1ANiGw_22_6"/>
      <w:bookmarkStart w:id="626" w:name="Tc_3bH9rl0XEUm9XTes11SiPw_22_0"/>
      <w:bookmarkStart w:id="627" w:name="Tc_kSCHwE1i5ECTU8rwfWsgsQ_21_0"/>
      <w:bookmarkStart w:id="628" w:name="Tc_o9rc919Z2ky49EcnylcLVA_20_0"/>
      <w:bookmarkStart w:id="629" w:name="Tc_zL9V5OO-mUeF5G4-0C4mEw_19_0"/>
      <w:bookmarkStart w:id="630" w:name="Tc_DVxo-jASikKdICUrbUXRng_18_0"/>
      <w:bookmarkStart w:id="631" w:name="Tc_65VUIMRnrk21gM5J26W19w_17_0"/>
      <w:bookmarkStart w:id="632" w:name="Tc_ps1CkcuOgEqlHFQm7fjNgw_16_0"/>
      <w:bookmarkStart w:id="633" w:name="Tc_o_Yu42LRl0eFfg9YyB-4oQ_15_0"/>
      <w:bookmarkStart w:id="634" w:name="Tc_p-v5eJr100-vwHg6_wJPEQ_14_0"/>
      <w:bookmarkStart w:id="635" w:name="Tc_8ArYuF-0FUGViy2-c_XXsQ_13_6"/>
      <w:bookmarkStart w:id="636" w:name="Tc_1mMYn-ral0K9kG60mnt2HQ_13_0"/>
      <w:bookmarkStart w:id="637" w:name="Tc_GthM34yNcUmcsC3njEP5Xw_12_3"/>
      <w:bookmarkStart w:id="638" w:name="Tc_fE4ukm6YNUeKygpqbW-Itg_12_0"/>
      <w:bookmarkStart w:id="639" w:name="Tc_fp_AY9eVw0Oqhcq7l8O7bQ_11_0"/>
      <w:bookmarkStart w:id="640" w:name="Tc_H-Su2oZcBkaNDImXTfQT8g_10_0"/>
      <w:bookmarkStart w:id="641" w:name="Tc_JELDYqq56EC6As3kDo5aow_9_0"/>
      <w:bookmarkStart w:id="642" w:name="Tc_JyEJavVPF0ec3BouG38Yww_8_0"/>
      <w:bookmarkStart w:id="643" w:name="Tc_v-GAQ9avRE-uxcawbtWbeA_7_0"/>
      <w:bookmarkStart w:id="644" w:name="Tc_bDsfN-zIDUuA93BBQGTIqA_6_0"/>
      <w:bookmarkStart w:id="645" w:name="Tc_Z80hD0ZJgkaSldCHT4fxUQ_5_0"/>
      <w:bookmarkStart w:id="646" w:name="Tc_oQYN3x-7CUiZUwFFute5XQ_4_5"/>
      <w:bookmarkStart w:id="647" w:name="Tc_3EjM5sBuIUC_zk76JKgHuw_4_2"/>
      <w:bookmarkStart w:id="648" w:name="Tc_9-nxgUgr5k2mYhGGPW22jA_4_0"/>
      <w:bookmarkStart w:id="649" w:name="Tc_J7BpvK_P8UmeN8y46E8o5g_3_0"/>
      <w:bookmarkStart w:id="650" w:name="Tc_mg7sEka9LkG8aJMl2VwVTQ_2_5"/>
      <w:bookmarkStart w:id="651" w:name="Tc_JejjHm00xkKeKFHlyhNKvw_2_2"/>
      <w:bookmarkStart w:id="652" w:name="Tc_UdUfP1y4wk2A295N7bE_gw_1_2"/>
      <w:bookmarkStart w:id="653" w:name="_29bb6ce8_427b_4cf8_a1ce_0377a0f733f0"/>
      <w:bookmarkStart w:id="654" w:name="Tc_Zc6SIGvZeEemE9rx0Eo74w_40_5"/>
      <w:bookmarkStart w:id="655" w:name="Tc_lCcsLOSGwky4m6y6I9YU6g_40_2"/>
      <w:bookmarkStart w:id="656" w:name="Tc_UmN9fNRHH0yEXaZqGstWJQ_40_0"/>
      <w:bookmarkStart w:id="657" w:name="Tc_ZK6SOXxElEapZXj0Y2PZ5A_39_0"/>
      <w:bookmarkStart w:id="658" w:name="Tc_65RrDErHt0q7MgIbkAQlSg_38_0"/>
      <w:bookmarkStart w:id="659" w:name="Tc_FXiSuQqLlkGPlGyQ_gFubQ_37_0"/>
      <w:bookmarkStart w:id="660" w:name="Tc_dDdzSNIoaUmFe-uvVuuZzQ_36_0"/>
      <w:bookmarkStart w:id="661" w:name="Tc_QQL5VhVlPEy-0inKh5-AJQ_35_0"/>
      <w:bookmarkStart w:id="662" w:name="Tc_2x8UozwZJkCYkcgJAxdU4A_34_3"/>
      <w:bookmarkStart w:id="663" w:name="Tc_SetACUzlWEi7CKpOQi0VVQ_34_0"/>
      <w:bookmarkStart w:id="664" w:name="Tc_e_0sKvzgx0WeiaTdJmmxFQ_33_0"/>
      <w:bookmarkStart w:id="665" w:name="Tc__QdRxNvSK0m8SpsRhLxJPQ_32_3"/>
      <w:bookmarkStart w:id="666" w:name="Tc_iPWpY_8Gkkmv3Z6lDVMFrg_32_0"/>
      <w:bookmarkStart w:id="667" w:name="Tc_ckUncghp9kqIjmMhHikYlw_31_0"/>
      <w:bookmarkStart w:id="668" w:name="Tc_L01o2-iWO0i5VS2AzNuJig_30_0"/>
      <w:bookmarkStart w:id="669" w:name="Tc_Q0_5PYfDyky-84VF0DJ0dQ_29_0"/>
      <w:bookmarkStart w:id="670" w:name="Tc_E0rDmo4GQkONLdWYcgBd8A_28_0"/>
      <w:bookmarkStart w:id="671" w:name="Tc_Xq3Z52rLPU-rGjggtRkUmQ_27_6"/>
      <w:bookmarkStart w:id="672" w:name="Tc_rhONYFzYzk2-QqoRtgPibw_27_0"/>
      <w:bookmarkStart w:id="673" w:name="Tc_o8NLOb_h9ECzWTg9GD-1gA_26_0"/>
      <w:bookmarkStart w:id="674" w:name="Tc_ZtbWfqKYzUGPFCdQ0bNBgw_25_0"/>
      <w:bookmarkStart w:id="675" w:name="Tc_4n5r8dFp10CNVh41hXZX-Q_24_0"/>
      <w:bookmarkStart w:id="676" w:name="Tc_oVAt-GlD6kSWiL_fAtAlMQ_23_0"/>
      <w:bookmarkStart w:id="677" w:name="Tc_qb6WcDH9PkaQX94w1ANiGw_22_6"/>
      <w:bookmarkStart w:id="678" w:name="Tc_3bH9rl0XEUm9XTes11SiPw_22_0"/>
      <w:bookmarkStart w:id="679" w:name="Tc_kSCHwE1i5ECTU8rwfWsgsQ_21_0"/>
      <w:bookmarkStart w:id="680" w:name="Tc_o9rc919Z2ky49EcnylcLVA_20_0"/>
      <w:bookmarkStart w:id="681" w:name="Tc_zL9V5OO-mUeF5G4-0C4mEw_19_0"/>
      <w:bookmarkStart w:id="682" w:name="Tc_DVxo-jASikKdICUrbUXRng_18_0"/>
      <w:bookmarkStart w:id="683" w:name="Tc_65VUIMRnrk21gM5J26W19w_17_0"/>
      <w:bookmarkStart w:id="684" w:name="Tc_ps1CkcuOgEqlHFQm7fjNgw_16_0"/>
      <w:bookmarkStart w:id="685" w:name="Tc_o_Yu42LRl0eFfg9YyB-4oQ_15_0"/>
      <w:bookmarkStart w:id="686" w:name="Tc_p-v5eJr100-vwHg6_wJPEQ_14_0"/>
      <w:bookmarkStart w:id="687" w:name="Tc_8ArYuF-0FUGViy2-c_XXsQ_13_6"/>
      <w:bookmarkStart w:id="688" w:name="Tc_1mMYn-ral0K9kG60mnt2HQ_13_0"/>
      <w:bookmarkStart w:id="689" w:name="Tc_GthM34yNcUmcsC3njEP5Xw_12_3"/>
      <w:bookmarkStart w:id="690" w:name="Tc_fE4ukm6YNUeKygpqbW-Itg_12_0"/>
      <w:bookmarkStart w:id="691" w:name="Tc_fp_AY9eVw0Oqhcq7l8O7bQ_11_0"/>
      <w:bookmarkStart w:id="692" w:name="Tc_H-Su2oZcBkaNDImXTfQT8g_10_0"/>
      <w:bookmarkStart w:id="693" w:name="Tc_JELDYqq56EC6As3kDo5aow_9_0"/>
      <w:bookmarkStart w:id="694" w:name="Tc_JyEJavVPF0ec3BouG38Yww_8_0"/>
      <w:bookmarkStart w:id="695" w:name="Tc_v-GAQ9avRE-uxcawbtWbeA_7_0"/>
      <w:bookmarkStart w:id="696" w:name="Tc_bDsfN-zIDUuA93BBQGTIqA_6_0"/>
      <w:bookmarkStart w:id="697" w:name="Tc_Z80hD0ZJgkaSldCHT4fxUQ_5_0"/>
      <w:bookmarkStart w:id="698" w:name="Tc_oQYN3x-7CUiZUwFFute5XQ_4_5"/>
      <w:bookmarkStart w:id="699" w:name="Tc_3EjM5sBuIUC_zk76JKgHuw_4_2"/>
      <w:bookmarkStart w:id="700" w:name="Tc_9-nxgUgr5k2mYhGGPW22jA_4_0"/>
      <w:bookmarkStart w:id="701" w:name="Tc_J7BpvK_P8UmeN8y46E8o5g_3_0"/>
      <w:bookmarkStart w:id="702" w:name="Tc_mg7sEka9LkG8aJMl2VwVTQ_2_5"/>
      <w:bookmarkStart w:id="703" w:name="Tc_JejjHm00xkKeKFHlyhNKvw_2_2"/>
      <w:bookmarkStart w:id="704" w:name="Tc_UdUfP1y4wk2A295N7bE_gw_1_2"/>
      <w:bookmarkStart w:id="705" w:name="_29bb6ce8_427b_4cf8_a1ce_0377a0f733f0"/>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tbl>
      <w:tblPr>
        <w:tblW w:w="10205" w:type="dxa"/>
        <w:jc w:val="left"/>
        <w:tblInd w:w="0" w:type="dxa"/>
        <w:tblLayout w:type="fixed"/>
        <w:tblCellMar>
          <w:top w:w="0" w:type="dxa"/>
          <w:left w:w="0" w:type="dxa"/>
          <w:bottom w:w="0" w:type="dxa"/>
          <w:right w:w="0" w:type="dxa"/>
        </w:tblCellMar>
      </w:tblPr>
      <w:tblGrid>
        <w:gridCol w:w="7193"/>
        <w:gridCol w:w="346"/>
        <w:gridCol w:w="235"/>
        <w:gridCol w:w="861"/>
        <w:gridCol w:w="417"/>
        <w:gridCol w:w="235"/>
        <w:gridCol w:w="918"/>
      </w:tblGrid>
      <w:tr>
        <w:trPr/>
        <w:tc>
          <w:tcPr>
            <w:tcW w:w="7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567555" cy="175260"/>
                      <wp:effectExtent l="0" t="0" r="0" b="0"/>
                      <wp:wrapNone/>
                      <wp:docPr id="93" name="Frame93"/>
                      <a:graphic xmlns:a="http://schemas.openxmlformats.org/drawingml/2006/main">
                        <a:graphicData uri="http://schemas.microsoft.com/office/word/2010/wordprocessingShape">
                          <wps:wsp>
                            <wps:cNvSpPr txBox="1"/>
                            <wps:spPr>
                              <a:xfrm>
                                <a:off x="0" y="0"/>
                                <a:ext cx="4567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49225" cy="175260"/>
                      <wp:effectExtent l="0" t="0" r="0" b="0"/>
                      <wp:wrapNone/>
                      <wp:docPr id="95" name="Frame95"/>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46735" cy="175260"/>
                      <wp:effectExtent l="0" t="0" r="0" b="0"/>
                      <wp:wrapNone/>
                      <wp:docPr id="96" name="Frame96"/>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64795" cy="175260"/>
                      <wp:effectExtent l="0" t="0" r="0" b="0"/>
                      <wp:wrapNone/>
                      <wp:docPr id="97" name="Frame97"/>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49225" cy="175260"/>
                      <wp:effectExtent l="0" t="0" r="0" b="0"/>
                      <wp:wrapNone/>
                      <wp:docPr id="98" name="Frame98"/>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82930" cy="175260"/>
                      <wp:effectExtent l="0" t="0" r="0" b="0"/>
                      <wp:wrapNone/>
                      <wp:docPr id="99" name="Frame99"/>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9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66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719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7" w:type="dxa"/>
            <w:tcBorders/>
            <w:vAlign w:val="center"/>
          </w:tcPr>
          <w:p>
            <w:pPr>
              <w:pStyle w:val="TableContents"/>
              <w:bidi w:val="0"/>
              <w:spacing w:before="0" w:after="1"/>
              <w:ind w:left="0" w:right="0" w:hanging="0"/>
              <w:jc w:val="left"/>
              <w:rPr/>
            </w:pPr>
            <w:r>
              <w:rPr/>
              <w:t>  ​ ​ ​</w:t>
            </w:r>
          </w:p>
        </w:tc>
        <w:tc>
          <w:tcPr>
            <w:tcW w:w="11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1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pPr>
            <w:r>
              <w:rPr/>
              <w:t>  ​</w:t>
            </w:r>
          </w:p>
        </w:tc>
        <w:tc>
          <w:tcPr>
            <w:tcW w:w="417" w:type="dxa"/>
            <w:tcBorders/>
            <w:shd w:fill="CCEEFF" w:val="clear"/>
            <w:vAlign w:val="center"/>
          </w:tcPr>
          <w:p>
            <w:pPr>
              <w:pStyle w:val="TableContents"/>
              <w:bidi w:val="0"/>
              <w:spacing w:before="0" w:after="1"/>
              <w:ind w:left="0" w:right="0" w:hanging="0"/>
              <w:jc w:val="left"/>
              <w:rPr/>
            </w:pPr>
            <w:r>
              <w:rPr/>
              <w:t> </w:t>
            </w:r>
          </w:p>
        </w:tc>
        <w:tc>
          <w:tcPr>
            <w:tcW w:w="235" w:type="dxa"/>
            <w:tcBorders/>
            <w:shd w:fill="CCEEFF" w:val="clear"/>
            <w:vAlign w:val="center"/>
          </w:tcPr>
          <w:p>
            <w:pPr>
              <w:pStyle w:val="TableContents"/>
              <w:bidi w:val="0"/>
              <w:spacing w:before="0" w:after="1"/>
              <w:ind w:left="0" w:right="0" w:hanging="0"/>
              <w:jc w:val="left"/>
              <w:rPr/>
            </w:pPr>
            <w:r>
              <w:rPr/>
              <w:t>​</w:t>
            </w:r>
          </w:p>
        </w:tc>
        <w:tc>
          <w:tcPr>
            <w:tcW w:w="918" w:type="dxa"/>
            <w:tcBorders/>
            <w:shd w:fill="CCEEFF" w:val="clear"/>
            <w:vAlign w:val="center"/>
          </w:tcPr>
          <w:p>
            <w:pPr>
              <w:pStyle w:val="TableContents"/>
              <w:bidi w:val="0"/>
              <w:spacing w:before="0" w:after="1"/>
              <w:ind w:left="0" w:right="0" w:hanging="0"/>
              <w:jc w:val="right"/>
              <w:rPr/>
            </w:pPr>
            <w:r>
              <w:rPr/>
              <w:t>  ​</w:t>
            </w:r>
          </w:p>
        </w:tc>
      </w:tr>
      <w:tr>
        <w:trPr/>
        <w:tc>
          <w:tcPr>
            <w:tcW w:w="71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27,002</w:t>
            </w:r>
          </w:p>
        </w:tc>
        <w:tc>
          <w:tcPr>
            <w:tcW w:w="417"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(47,767)</w:t>
            </w:r>
          </w:p>
        </w:tc>
      </w:tr>
      <w:tr>
        <w:trPr/>
        <w:tc>
          <w:tcPr>
            <w:tcW w:w="71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income (loss) to 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61" w:type="dxa"/>
            <w:tcBorders/>
            <w:shd w:fill="CCEEFF" w:val="clear"/>
            <w:vAlign w:val="center"/>
          </w:tcPr>
          <w:p>
            <w:pPr>
              <w:pStyle w:val="TableContents"/>
              <w:bidi w:val="0"/>
              <w:spacing w:before="0" w:after="1"/>
              <w:ind w:left="0" w:right="0" w:hanging="0"/>
              <w:jc w:val="right"/>
              <w:rPr/>
            </w:pPr>
            <w:r>
              <w:rPr/>
              <w:t>  ​</w:t>
            </w:r>
          </w:p>
        </w:tc>
        <w:tc>
          <w:tcPr>
            <w:tcW w:w="417"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918" w:type="dxa"/>
            <w:tcBorders/>
            <w:shd w:fill="CCEEFF" w:val="clear"/>
            <w:vAlign w:val="center"/>
          </w:tcPr>
          <w:p>
            <w:pPr>
              <w:pStyle w:val="TableContents"/>
              <w:bidi w:val="0"/>
              <w:spacing w:before="0" w:after="1"/>
              <w:ind w:left="0" w:right="0" w:hanging="0"/>
              <w:jc w:val="right"/>
              <w:rPr/>
            </w:pPr>
            <w:r>
              <w:rPr/>
              <w:t>  ​</w:t>
            </w:r>
          </w:p>
        </w:tc>
      </w:tr>
      <w:tr>
        <w:trPr/>
        <w:tc>
          <w:tcPr>
            <w:tcW w:w="71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Provision for (recovery of) loan losses</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425</w:t>
            </w:r>
          </w:p>
        </w:tc>
        <w:tc>
          <w:tcPr>
            <w:tcW w:w="417"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w:t>
            </w:r>
          </w:p>
        </w:tc>
      </w:tr>
      <w:tr>
        <w:trPr/>
        <w:tc>
          <w:tcPr>
            <w:tcW w:w="71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3,084</w:t>
            </w:r>
          </w:p>
        </w:tc>
        <w:tc>
          <w:tcPr>
            <w:tcW w:w="417"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1,929</w:t>
            </w:r>
          </w:p>
        </w:tc>
      </w:tr>
      <w:tr>
        <w:trPr/>
        <w:tc>
          <w:tcPr>
            <w:tcW w:w="71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discounts/premiums and deferred interest on loans, net</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(563)</w:t>
            </w:r>
          </w:p>
        </w:tc>
        <w:tc>
          <w:tcPr>
            <w:tcW w:w="417"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(526)</w:t>
            </w:r>
          </w:p>
        </w:tc>
      </w:tr>
      <w:tr>
        <w:trPr/>
        <w:tc>
          <w:tcPr>
            <w:tcW w:w="71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premium, discount and deferred financing costs and paid-in-kind interest on debt obligations, net</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3,806</w:t>
            </w:r>
          </w:p>
        </w:tc>
        <w:tc>
          <w:tcPr>
            <w:tcW w:w="417"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3,971</w:t>
            </w:r>
          </w:p>
        </w:tc>
      </w:tr>
      <w:tr>
        <w:trPr/>
        <w:tc>
          <w:tcPr>
            <w:tcW w:w="71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operating lease income</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w:t>
            </w:r>
          </w:p>
        </w:tc>
        <w:tc>
          <w:tcPr>
            <w:tcW w:w="417"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w:t>
            </w:r>
          </w:p>
        </w:tc>
      </w:tr>
      <w:tr>
        <w:trPr/>
        <w:tc>
          <w:tcPr>
            <w:tcW w:w="71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(gains) losses on equity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(27,181)</w:t>
            </w:r>
          </w:p>
        </w:tc>
        <w:tc>
          <w:tcPr>
            <w:tcW w:w="417"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39,486</w:t>
            </w:r>
          </w:p>
        </w:tc>
      </w:tr>
      <w:tr>
        <w:trPr/>
        <w:tc>
          <w:tcPr>
            <w:tcW w:w="71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 on early extinguishment of debt</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pPr>
            <w:r>
              <w:rPr/>
              <w:t>—</w:t>
            </w:r>
          </w:p>
        </w:tc>
        <w:tc>
          <w:tcPr>
            <w:tcW w:w="417"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w:t>
            </w:r>
          </w:p>
        </w:tc>
      </w:tr>
      <w:tr>
        <w:trPr/>
        <w:tc>
          <w:tcPr>
            <w:tcW w:w="71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from sales of real estate</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(14,365)</w:t>
            </w:r>
          </w:p>
        </w:tc>
        <w:tc>
          <w:tcPr>
            <w:tcW w:w="417"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918" w:type="dxa"/>
            <w:tcBorders/>
            <w:shd w:fill="CCEEFF" w:val="clear"/>
            <w:vAlign w:val="center"/>
          </w:tcPr>
          <w:p>
            <w:pPr>
              <w:pStyle w:val="TableContents"/>
              <w:bidi w:val="0"/>
              <w:spacing w:before="0" w:after="1"/>
              <w:ind w:left="0" w:right="0" w:hanging="0"/>
              <w:jc w:val="right"/>
              <w:rPr/>
            </w:pPr>
            <w:r>
              <w:rPr/>
              <w:t>—</w:t>
            </w:r>
          </w:p>
        </w:tc>
      </w:tr>
      <w:tr>
        <w:trPr/>
        <w:tc>
          <w:tcPr>
            <w:tcW w:w="71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Land development revenue (in excess of) cost of sales</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(2,887)</w:t>
            </w:r>
          </w:p>
        </w:tc>
        <w:tc>
          <w:tcPr>
            <w:tcW w:w="417"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(6,456)</w:t>
            </w:r>
          </w:p>
        </w:tc>
      </w:tr>
      <w:tr>
        <w:trPr/>
        <w:tc>
          <w:tcPr>
            <w:tcW w:w="71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operating activities, net</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370</w:t>
            </w:r>
          </w:p>
        </w:tc>
        <w:tc>
          <w:tcPr>
            <w:tcW w:w="417"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w:t>
            </w:r>
          </w:p>
        </w:tc>
      </w:tr>
      <w:tr>
        <w:trPr/>
        <w:tc>
          <w:tcPr>
            <w:tcW w:w="71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assets and liabilities:</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pPr>
            <w:r>
              <w:rPr/>
              <w:t>​</w:t>
            </w:r>
          </w:p>
        </w:tc>
        <w:tc>
          <w:tcPr>
            <w:tcW w:w="417"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918" w:type="dxa"/>
            <w:tcBorders/>
            <w:vAlign w:val="center"/>
          </w:tcPr>
          <w:p>
            <w:pPr>
              <w:pStyle w:val="TableContents"/>
              <w:bidi w:val="0"/>
              <w:spacing w:before="0" w:after="1"/>
              <w:ind w:left="0" w:right="0" w:hanging="0"/>
              <w:jc w:val="right"/>
              <w:rPr/>
            </w:pPr>
            <w:r>
              <w:rPr/>
              <w:t>​</w:t>
            </w:r>
          </w:p>
        </w:tc>
      </w:tr>
      <w:tr>
        <w:trPr/>
        <w:tc>
          <w:tcPr>
            <w:tcW w:w="71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accrued interest and operating lease income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(629)</w:t>
            </w:r>
          </w:p>
        </w:tc>
        <w:tc>
          <w:tcPr>
            <w:tcW w:w="417"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(383)</w:t>
            </w:r>
          </w:p>
        </w:tc>
      </w:tr>
      <w:tr>
        <w:trPr/>
        <w:tc>
          <w:tcPr>
            <w:tcW w:w="71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deferred expenses and other assets, net</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(753)</w:t>
            </w:r>
          </w:p>
        </w:tc>
        <w:tc>
          <w:tcPr>
            <w:tcW w:w="417"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418</w:t>
            </w:r>
          </w:p>
        </w:tc>
      </w:tr>
      <w:tr>
        <w:trPr/>
        <w:tc>
          <w:tcPr>
            <w:tcW w:w="71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accounts payable, accrued expenses and other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322</w:t>
            </w:r>
          </w:p>
        </w:tc>
        <w:tc>
          <w:tcPr>
            <w:tcW w:w="417"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w:t>
            </w:r>
          </w:p>
        </w:tc>
      </w:tr>
      <w:tr>
        <w:trPr/>
        <w:tc>
          <w:tcPr>
            <w:tcW w:w="71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used in operating activities</w:t>
            </w:r>
          </w:p>
        </w:tc>
        <w:tc>
          <w:tcPr>
            <w:tcW w:w="346"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(11,230)</w:t>
            </w:r>
          </w:p>
        </w:tc>
        <w:tc>
          <w:tcPr>
            <w:tcW w:w="417"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(8,966)</w:t>
            </w:r>
          </w:p>
        </w:tc>
      </w:tr>
      <w:tr>
        <w:trPr/>
        <w:tc>
          <w:tcPr>
            <w:tcW w:w="71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61" w:type="dxa"/>
            <w:tcBorders/>
            <w:shd w:fill="CCEEFF" w:val="clear"/>
            <w:vAlign w:val="center"/>
          </w:tcPr>
          <w:p>
            <w:pPr>
              <w:pStyle w:val="TableContents"/>
              <w:bidi w:val="0"/>
              <w:spacing w:before="0" w:after="1"/>
              <w:ind w:left="0" w:right="0" w:hanging="0"/>
              <w:jc w:val="right"/>
              <w:rPr/>
            </w:pPr>
            <w:r>
              <w:rPr/>
              <w:t>  ​</w:t>
            </w:r>
          </w:p>
        </w:tc>
        <w:tc>
          <w:tcPr>
            <w:tcW w:w="417"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918" w:type="dxa"/>
            <w:tcBorders/>
            <w:shd w:fill="CCEEFF" w:val="clear"/>
            <w:vAlign w:val="center"/>
          </w:tcPr>
          <w:p>
            <w:pPr>
              <w:pStyle w:val="TableContents"/>
              <w:bidi w:val="0"/>
              <w:spacing w:before="0" w:after="1"/>
              <w:ind w:left="0" w:right="0" w:hanging="0"/>
              <w:jc w:val="right"/>
              <w:rPr/>
            </w:pPr>
            <w:r>
              <w:rPr/>
              <w:t>  ​</w:t>
            </w:r>
          </w:p>
        </w:tc>
      </w:tr>
      <w:tr>
        <w:trPr/>
        <w:tc>
          <w:tcPr>
            <w:tcW w:w="71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Originations and fundings of loans receivable and other lending investments, net</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(20,285)</w:t>
            </w:r>
          </w:p>
        </w:tc>
        <w:tc>
          <w:tcPr>
            <w:tcW w:w="417"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918" w:type="dxa"/>
            <w:tcBorders/>
            <w:vAlign w:val="center"/>
          </w:tcPr>
          <w:p>
            <w:pPr>
              <w:pStyle w:val="TableContents"/>
              <w:bidi w:val="0"/>
              <w:spacing w:before="0" w:after="1"/>
              <w:ind w:left="0" w:right="0" w:hanging="0"/>
              <w:jc w:val="right"/>
              <w:rPr/>
            </w:pPr>
            <w:r>
              <w:rPr/>
              <w:t>—</w:t>
            </w:r>
          </w:p>
        </w:tc>
      </w:tr>
      <w:tr>
        <w:trPr/>
        <w:tc>
          <w:tcPr>
            <w:tcW w:w="71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Capital expenditures on real estate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(527)</w:t>
            </w:r>
          </w:p>
        </w:tc>
        <w:tc>
          <w:tcPr>
            <w:tcW w:w="417"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(477)</w:t>
            </w:r>
          </w:p>
        </w:tc>
      </w:tr>
      <w:tr>
        <w:trPr/>
        <w:tc>
          <w:tcPr>
            <w:tcW w:w="71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Capital reimbursements (expenditures) on land and development assets, net</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318</w:t>
            </w:r>
          </w:p>
        </w:tc>
        <w:tc>
          <w:tcPr>
            <w:tcW w:w="417"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(37,790)</w:t>
            </w:r>
          </w:p>
        </w:tc>
      </w:tr>
      <w:tr>
        <w:trPr/>
        <w:tc>
          <w:tcPr>
            <w:tcW w:w="71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Repayments of and principal collections on loans receivable and other lending investments, net</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2,800</w:t>
            </w:r>
          </w:p>
        </w:tc>
        <w:tc>
          <w:tcPr>
            <w:tcW w:w="417"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3,495</w:t>
            </w:r>
          </w:p>
        </w:tc>
      </w:tr>
      <w:tr>
        <w:trPr/>
        <w:tc>
          <w:tcPr>
            <w:tcW w:w="71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proceeds from sales of land and development assets</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14,707</w:t>
            </w:r>
          </w:p>
        </w:tc>
        <w:tc>
          <w:tcPr>
            <w:tcW w:w="417"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31,875</w:t>
            </w:r>
          </w:p>
        </w:tc>
      </w:tr>
      <w:tr>
        <w:trPr/>
        <w:tc>
          <w:tcPr>
            <w:tcW w:w="71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restricted cash disposed upon deconsolidation of venture (refer to Note 5)</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(3,051)</w:t>
            </w:r>
          </w:p>
        </w:tc>
        <w:tc>
          <w:tcPr>
            <w:tcW w:w="417"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918" w:type="dxa"/>
            <w:tcBorders/>
            <w:shd w:fill="CCEEFF" w:val="clear"/>
            <w:vAlign w:val="center"/>
          </w:tcPr>
          <w:p>
            <w:pPr>
              <w:pStyle w:val="TableContents"/>
              <w:bidi w:val="0"/>
              <w:spacing w:before="0" w:after="1"/>
              <w:ind w:left="0" w:right="0" w:hanging="0"/>
              <w:jc w:val="right"/>
              <w:rPr/>
            </w:pPr>
            <w:r>
              <w:rPr/>
              <w:t>—</w:t>
            </w:r>
          </w:p>
        </w:tc>
      </w:tr>
      <w:tr>
        <w:trPr/>
        <w:tc>
          <w:tcPr>
            <w:tcW w:w="71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investing activities, net</w:t>
            </w:r>
          </w:p>
        </w:tc>
        <w:tc>
          <w:tcPr>
            <w:tcW w:w="346"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245</w:t>
            </w:r>
          </w:p>
        </w:tc>
        <w:tc>
          <w:tcPr>
            <w:tcW w:w="417"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(1,506)</w:t>
            </w:r>
          </w:p>
        </w:tc>
      </w:tr>
      <w:tr>
        <w:trPr/>
        <w:tc>
          <w:tcPr>
            <w:tcW w:w="71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provided by (used in)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(5,793)</w:t>
            </w:r>
          </w:p>
        </w:tc>
        <w:tc>
          <w:tcPr>
            <w:tcW w:w="417"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(4,403)</w:t>
            </w:r>
          </w:p>
        </w:tc>
      </w:tr>
      <w:tr>
        <w:trPr/>
        <w:tc>
          <w:tcPr>
            <w:tcW w:w="71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financing activities:</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pPr>
            <w:r>
              <w:rPr/>
              <w:t>  ​</w:t>
            </w:r>
          </w:p>
        </w:tc>
        <w:tc>
          <w:tcPr>
            <w:tcW w:w="417"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918" w:type="dxa"/>
            <w:tcBorders/>
            <w:vAlign w:val="center"/>
          </w:tcPr>
          <w:p>
            <w:pPr>
              <w:pStyle w:val="TableContents"/>
              <w:bidi w:val="0"/>
              <w:spacing w:before="0" w:after="1"/>
              <w:ind w:left="0" w:right="0" w:hanging="0"/>
              <w:jc w:val="right"/>
              <w:rPr/>
            </w:pPr>
            <w:r>
              <w:rPr/>
              <w:t>  ​</w:t>
            </w:r>
          </w:p>
        </w:tc>
      </w:tr>
      <w:tr>
        <w:trPr/>
        <w:tc>
          <w:tcPr>
            <w:tcW w:w="71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Borrowings from debt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4,818</w:t>
            </w:r>
          </w:p>
        </w:tc>
        <w:tc>
          <w:tcPr>
            <w:tcW w:w="417"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29,255</w:t>
            </w:r>
          </w:p>
        </w:tc>
      </w:tr>
      <w:tr>
        <w:trPr/>
        <w:tc>
          <w:tcPr>
            <w:tcW w:w="71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Repayments of debt obligations</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pPr>
            <w:r>
              <w:rPr/>
              <w:t>—</w:t>
            </w:r>
          </w:p>
        </w:tc>
        <w:tc>
          <w:tcPr>
            <w:tcW w:w="417"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w:t>
            </w:r>
          </w:p>
        </w:tc>
      </w:tr>
      <w:tr>
        <w:trPr/>
        <w:tc>
          <w:tcPr>
            <w:tcW w:w="71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 of deferred financing costs</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w:t>
            </w:r>
          </w:p>
        </w:tc>
        <w:tc>
          <w:tcPr>
            <w:tcW w:w="417"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w:t>
            </w:r>
          </w:p>
        </w:tc>
      </w:tr>
      <w:tr>
        <w:trPr/>
        <w:tc>
          <w:tcPr>
            <w:tcW w:w="71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of debt prepayment or extinguishment costs</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pPr>
            <w:r>
              <w:rPr/>
              <w:t>—</w:t>
            </w:r>
          </w:p>
        </w:tc>
        <w:tc>
          <w:tcPr>
            <w:tcW w:w="417"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w:t>
            </w:r>
          </w:p>
        </w:tc>
      </w:tr>
      <w:tr>
        <w:trPr/>
        <w:tc>
          <w:tcPr>
            <w:tcW w:w="71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Repurchase of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(1,998)</w:t>
            </w:r>
          </w:p>
        </w:tc>
        <w:tc>
          <w:tcPr>
            <w:tcW w:w="417"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(189)</w:t>
            </w:r>
          </w:p>
        </w:tc>
      </w:tr>
      <w:tr>
        <w:trPr/>
        <w:tc>
          <w:tcPr>
            <w:tcW w:w="71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financing activities, net</w:t>
            </w:r>
          </w:p>
        </w:tc>
        <w:tc>
          <w:tcPr>
            <w:tcW w:w="346"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417"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w:t>
            </w:r>
          </w:p>
        </w:tc>
      </w:tr>
      <w:tr>
        <w:trPr/>
        <w:tc>
          <w:tcPr>
            <w:tcW w:w="71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provided by (used in)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2,658</w:t>
            </w:r>
          </w:p>
        </w:tc>
        <w:tc>
          <w:tcPr>
            <w:tcW w:w="417"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23,710</w:t>
            </w:r>
          </w:p>
        </w:tc>
      </w:tr>
      <w:tr>
        <w:trPr/>
        <w:tc>
          <w:tcPr>
            <w:tcW w:w="71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cash and restricted cash</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(14,365)</w:t>
            </w:r>
          </w:p>
        </w:tc>
        <w:tc>
          <w:tcPr>
            <w:tcW w:w="417"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10,341</w:t>
            </w:r>
          </w:p>
        </w:tc>
      </w:tr>
      <w:tr>
        <w:trPr/>
        <w:tc>
          <w:tcPr>
            <w:tcW w:w="71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restricted cash at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67,172</w:t>
            </w:r>
          </w:p>
        </w:tc>
        <w:tc>
          <w:tcPr>
            <w:tcW w:w="417"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45,546</w:t>
            </w:r>
          </w:p>
        </w:tc>
      </w:tr>
      <w:tr>
        <w:trPr/>
        <w:tc>
          <w:tcPr>
            <w:tcW w:w="71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restricted cash at end of period</w:t>
            </w:r>
          </w:p>
        </w:tc>
        <w:tc>
          <w:tcPr>
            <w:tcW w:w="346" w:type="dxa"/>
            <w:tcBorders/>
            <w:vAlign w:val="center"/>
          </w:tcPr>
          <w:p>
            <w:pPr>
              <w:pStyle w:val="TableContents"/>
              <w:bidi w:val="0"/>
              <w:spacing w:before="0" w:after="1"/>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52,807</w:t>
            </w:r>
          </w:p>
        </w:tc>
        <w:tc>
          <w:tcPr>
            <w:tcW w:w="417" w:type="dxa"/>
            <w:tcBorders/>
            <w:vAlign w:val="center"/>
          </w:tcPr>
          <w:p>
            <w:pPr>
              <w:pStyle w:val="TableContents"/>
              <w:bidi w:val="0"/>
              <w:spacing w:before="0" w:after="1"/>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8" w:type="dxa"/>
            <w:tcBorders>
              <w:bottom w:val="double" w:sz="6"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sz w:val="16"/>
              </w:rPr>
            </w:pPr>
            <w:r>
              <w:rPr>
                <w:rFonts w:ascii="Times New Roman;Times;serif" w:hAnsi="Times New Roman;Times;serif"/>
                <w:sz w:val="16"/>
              </w:rPr>
              <w:t>55,887</w:t>
            </w:r>
          </w:p>
        </w:tc>
      </w:tr>
    </w:tbl>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706" w:name="Tc_pmxfy-eZnkiyompAIIUhMw_4_5"/>
      <w:bookmarkStart w:id="707" w:name="Tc_P97RRsTWxUmoLvC3JrQfig_4_2"/>
      <w:bookmarkStart w:id="708" w:name="Tc_FmcHKBeAvUGXmmlXIXRcBQ_4_0"/>
      <w:bookmarkStart w:id="709" w:name="Tc_9xVS50DhLke1SDi9Mo131Q_3_0"/>
      <w:bookmarkStart w:id="710" w:name="Tc_Koj-zITSQ0myFvGnUsFHOQ_2_5"/>
      <w:bookmarkStart w:id="711" w:name="Tc_aIZm9BReYEqm65FsnUTdpw_2_2"/>
      <w:bookmarkStart w:id="712" w:name="Tc_yjqT5Q8ynkGHDPJXH3KwZQ_2_0"/>
      <w:bookmarkStart w:id="713" w:name="Tc_VinXbdPTY0OlAF72Q5No6Q_1_0"/>
      <w:bookmarkStart w:id="714" w:name="_69c57bc1_c298_4db2_a2b8_d6e76f062f68"/>
      <w:bookmarkStart w:id="715" w:name="Tc_pmxfy-eZnkiyompAIIUhMw_4_5"/>
      <w:bookmarkStart w:id="716" w:name="Tc_P97RRsTWxUmoLvC3JrQfig_4_2"/>
      <w:bookmarkStart w:id="717" w:name="Tc_FmcHKBeAvUGXmmlXIXRcBQ_4_0"/>
      <w:bookmarkStart w:id="718" w:name="Tc_9xVS50DhLke1SDi9Mo131Q_3_0"/>
      <w:bookmarkStart w:id="719" w:name="Tc_Koj-zITSQ0myFvGnUsFHOQ_2_5"/>
      <w:bookmarkStart w:id="720" w:name="Tc_aIZm9BReYEqm65FsnUTdpw_2_2"/>
      <w:bookmarkStart w:id="721" w:name="Tc_yjqT5Q8ynkGHDPJXH3KwZQ_2_0"/>
      <w:bookmarkStart w:id="722" w:name="Tc_VinXbdPTY0OlAF72Q5No6Q_1_0"/>
      <w:bookmarkStart w:id="723" w:name="_69c57bc1_c298_4db2_a2b8_d6e76f062f68"/>
      <w:bookmarkEnd w:id="715"/>
      <w:bookmarkEnd w:id="716"/>
      <w:bookmarkEnd w:id="717"/>
      <w:bookmarkEnd w:id="718"/>
      <w:bookmarkEnd w:id="719"/>
      <w:bookmarkEnd w:id="720"/>
      <w:bookmarkEnd w:id="721"/>
      <w:bookmarkEnd w:id="722"/>
      <w:bookmarkEnd w:id="723"/>
    </w:p>
    <w:tbl>
      <w:tblPr>
        <w:tblW w:w="8688" w:type="dxa"/>
        <w:jc w:val="left"/>
        <w:tblInd w:w="0" w:type="dxa"/>
        <w:tblLayout w:type="fixed"/>
        <w:tblCellMar>
          <w:top w:w="0" w:type="dxa"/>
          <w:left w:w="0" w:type="dxa"/>
          <w:bottom w:w="0" w:type="dxa"/>
          <w:right w:w="0" w:type="dxa"/>
        </w:tblCellMar>
      </w:tblPr>
      <w:tblGrid>
        <w:gridCol w:w="6781"/>
        <w:gridCol w:w="109"/>
        <w:gridCol w:w="196"/>
        <w:gridCol w:w="601"/>
        <w:gridCol w:w="109"/>
        <w:gridCol w:w="196"/>
        <w:gridCol w:w="696"/>
      </w:tblGrid>
      <w:tr>
        <w:trPr/>
        <w:tc>
          <w:tcPr>
            <w:tcW w:w="6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305935" cy="175260"/>
                      <wp:effectExtent l="0" t="0" r="0" b="0"/>
                      <wp:wrapNone/>
                      <wp:docPr id="100" name="Frame100"/>
                      <a:graphic xmlns:a="http://schemas.openxmlformats.org/drawingml/2006/main">
                        <a:graphicData uri="http://schemas.microsoft.com/office/word/2010/wordprocessingShape">
                          <wps:wsp>
                            <wps:cNvSpPr txBox="1"/>
                            <wps:spPr>
                              <a:xfrm>
                                <a:off x="0" y="0"/>
                                <a:ext cx="430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9215" cy="175260"/>
                      <wp:effectExtent l="0" t="0" r="0" b="0"/>
                      <wp:wrapNone/>
                      <wp:docPr id="101" name="Frame1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24460" cy="175260"/>
                      <wp:effectExtent l="0" t="0" r="0" b="0"/>
                      <wp:wrapNone/>
                      <wp:docPr id="102" name="Frame10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81635" cy="175260"/>
                      <wp:effectExtent l="0" t="0" r="0" b="0"/>
                      <wp:wrapNone/>
                      <wp:docPr id="103" name="Frame10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104" name="Frame1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24460" cy="175260"/>
                      <wp:effectExtent l="0" t="0" r="0" b="0"/>
                      <wp:wrapNone/>
                      <wp:docPr id="105" name="Frame1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41960" cy="175260"/>
                      <wp:effectExtent l="0" t="0" r="0" b="0"/>
                      <wp:wrapNone/>
                      <wp:docPr id="106" name="Frame106"/>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Reconciliation of cash and restricted cash presented on the consolidated statements of cash flows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pPr>
            <w:r>
              <w:rPr/>
              <w:t>​</w:t>
            </w:r>
          </w:p>
        </w:tc>
      </w:tr>
      <w:tr>
        <w:trPr/>
        <w:tc>
          <w:tcPr>
            <w:tcW w:w="67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Cash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34,814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44,201</w:t>
            </w:r>
          </w:p>
        </w:tc>
      </w:tr>
      <w:tr>
        <w:trPr/>
        <w:tc>
          <w:tcPr>
            <w:tcW w:w="67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 included in deferred expenses and other assets,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17,993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11,686</w:t>
            </w:r>
          </w:p>
        </w:tc>
      </w:tr>
      <w:tr>
        <w:trPr/>
        <w:tc>
          <w:tcPr>
            <w:tcW w:w="67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cash and restricted cash</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52,807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6"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55,887</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Star Holdings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pBdr/>
        <w:bidi w:val="0"/>
        <w:spacing w:before="0" w:after="0"/>
        <w:ind w:left="0" w:right="0" w:hanging="0"/>
        <w:jc w:val="left"/>
        <w:rPr>
          <w:rFonts w:ascii="Times New Roman;Times;serif" w:hAnsi="Times New Roman;Times;serif"/>
          <w:b/>
          <w:sz w:val="20"/>
        </w:rPr>
      </w:pPr>
      <w:bookmarkStart w:id="724" w:name="NotestoConsolidatedFinancialStatemen"/>
      <w:bookmarkEnd w:id="724"/>
      <w:r>
        <w:rPr>
          <w:rFonts w:ascii="Times New Roman;Times;serif" w:hAnsi="Times New Roman;Times;serif"/>
          <w:b/>
          <w:sz w:val="20"/>
        </w:rPr>
        <w:t>Note 1—Business and Organization</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Star Holdings is a Maryland statutory trust (the "Company," "Star Holdings," "we" or "us") that was spun-off from iStar Inc. (“iStar”) on March 31, 2023 (the Spin-Off”). The Company was formed to hold and seek to monetize iStar’s legacy non-ground lease assets. The Company operates its business as one segment that focuses on realizing value for shareholders primarily by generating cash flows through active asset management and sales of its existing loans, operating properties and land and development properties. The Company expects to make certain investments to complete its development assets, but it does not currently expect to make material new investments or acquire material new assets. The Company’s short-term and long-term liquidity requirements include capital expenditures on its development projects, debt service, management fees and expense reimbursements payable to its Manager (refer to Note 7) and operating expenses, among others. The Company expects to meet its short-term liquidity requirements through any cash flows from operations, proceeds from asset sales, borrowings on available debt facilities (refer to Note 9) and unrestricted cash. The Company expects to meet its long-term liquidity requirements through any cash flows from operations and proceeds from asset sales.</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2—Basis of Presentation and Principles of Consolidation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Basis of Presentation</w:t>
      </w:r>
      <w:r>
        <w:rPr>
          <w:rFonts w:ascii="Times New Roman;Times;serif" w:hAnsi="Times New Roman;Times;serif"/>
          <w:sz w:val="20"/>
        </w:rPr>
        <w:t>—</w:t>
      </w:r>
      <w:r>
        <w:rPr>
          <w:rFonts w:ascii="Times New Roman;Times;serif" w:hAnsi="Times New Roman;Times;serif"/>
          <w:sz w:val="20"/>
          <w:shd w:fill="FFFFFF" w:val="clear"/>
        </w:rPr>
        <w:t>The accompanying unaudited consolidated financial statements have been prepared in conformity with the instructions to 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combined and consolidated financial statements and related notes included in the Company’s Annual Report on Form 10-K (the “2025 Annual Report”) for the year ended December 31,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The preparation of these consolidated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 </w:t>
      </w:r>
      <w:r>
        <w:rPr>
          <w:rFonts w:ascii="Times New Roman;Times;serif" w:hAnsi="Times New Roman;Times;serif"/>
          <w:sz w:val="20"/>
        </w:rPr>
        <w:t>Certain prior year amounts have been reclassified in the Company's consolidated financial statements and the related notes to conform to the current period presentation.</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In the opinion of management, the accompanying consolidated financial statements contain all adjustments consisting of normal recurring adjustments necessary for a fair statement of the results for the interim periods presented. Such operating results may not be indicative of the expected results for any other interim periods or the entire year.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bidi w:val="0"/>
        <w:spacing w:before="0" w:after="240"/>
        <w:ind w:left="0" w:right="0" w:firstLine="360"/>
        <w:jc w:val="both"/>
        <w:rPr>
          <w:rFonts w:ascii="Times New Roman;Times;serif" w:hAnsi="Times New Roman;Times;serif"/>
          <w:sz w:val="20"/>
        </w:rPr>
      </w:pPr>
      <w:bookmarkStart w:id="725" w:name="Tc_VjrAyeD9A0y-4bneIByxkQ_14_5"/>
      <w:bookmarkStart w:id="726" w:name="Tc_jy8CcqwNOk2mZz31ZNRKXA_14_2"/>
      <w:bookmarkStart w:id="727" w:name="Tc_TkuV7nS8802HmQAh-wCo4g_14_0"/>
      <w:bookmarkStart w:id="728" w:name="Tc_klwegmcnw0SQDgYragB67g_13_0"/>
      <w:bookmarkStart w:id="729" w:name="Tc_75y8Htu0nE2EuQzBuZfpew_12_5"/>
      <w:bookmarkStart w:id="730" w:name="Tc_tAaoKYvFKUqB-F8J-yWwlA_12_2"/>
      <w:bookmarkStart w:id="731" w:name="Tc_QIE2xzvbGUaZgng6480xVA_12_0"/>
      <w:bookmarkStart w:id="732" w:name="Tc_rIZySm5mr0St2p2ZPicmBQ_11_0"/>
      <w:bookmarkStart w:id="733" w:name="Tc_E03k_UXqfEu0VEsVuy4s9g_10_6"/>
      <w:bookmarkStart w:id="734" w:name="Tc_4co5Cwlk8UecZMS7HWHCCg_10_0"/>
      <w:bookmarkStart w:id="735" w:name="Tc_tz9aeQsuTESM7XKBPpW81g_9_0"/>
      <w:bookmarkStart w:id="736" w:name="Tc_JJAeHos-JEG1mqMOuPPWjA_8_0"/>
      <w:bookmarkStart w:id="737" w:name="Tc_PWly65mmo02xkSFjrE8EoA_7_0"/>
      <w:bookmarkStart w:id="738" w:name="Tc_U7FUZRTVtUyUtnRvDPiOQw_6_0"/>
      <w:bookmarkStart w:id="739" w:name="Tc_fgkkdk6P10yF-WzSDwIa_Q_5_5"/>
      <w:bookmarkStart w:id="740" w:name="Tc_0KUVzRPpp027-ETf5-AHEg_5_2"/>
      <w:bookmarkStart w:id="741" w:name="Tc_uGebzbmuRU6RXMh1tSU7FQ_5_0"/>
      <w:bookmarkStart w:id="742" w:name="Tc_X5KXI4EP7ECqi0AkCU4hmA_4_0"/>
      <w:bookmarkStart w:id="743" w:name="Tc_uDRvgvV_j0m2DiO0eLB_MA_3_0"/>
      <w:bookmarkStart w:id="744" w:name="Tc_IRgVUMxJe0CoDik30whKeg_2_5"/>
      <w:bookmarkStart w:id="745" w:name="Tc_8tFncYTOjkKArbG00gmaPA_2_2"/>
      <w:bookmarkStart w:id="746" w:name="Tc_0hShvqZCyU6RMk-Ex-VszA_1_2"/>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r>
        <w:rPr>
          <w:rFonts w:ascii="Times New Roman;Times;serif" w:hAnsi="Times New Roman;Times;serif"/>
          <w:b/>
          <w:sz w:val="20"/>
        </w:rPr>
        <w:t>Principles of Consolidation</w:t>
      </w:r>
      <w:r>
        <w:rPr>
          <w:rFonts w:ascii="Times New Roman;Times;serif" w:hAnsi="Times New Roman;Times;serif"/>
          <w:sz w:val="20"/>
        </w:rPr>
        <w:t>—</w:t>
      </w:r>
      <w:r>
        <w:rPr>
          <w:rFonts w:ascii="Times New Roman;Times;serif" w:hAnsi="Times New Roman;Times;serif"/>
          <w:color w:val="212529"/>
          <w:sz w:val="20"/>
        </w:rPr>
        <w:t>The consolidated financial statements include the accounts and operations of the Company, its wholly-owned subsidiaries and VIEs for which the Company is the primary beneficiary. All intercompany balances and transactions have been eliminated in consolidation.</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b/>
          <w:i/>
          <w:sz w:val="20"/>
        </w:rPr>
        <w:t>Consolidated VIEs</w:t>
      </w:r>
      <w:r>
        <w:rPr>
          <w:rFonts w:ascii="Times New Roman;Times;serif" w:hAnsi="Times New Roman;Times;serif"/>
          <w:sz w:val="20"/>
        </w:rPr>
        <w:t xml:space="preserve">—The Company consolidates VIEs for which it is considered the primary beneficiary. The liabilities of these VIEs are non-recourse to the Company and can only be satisfied from each VIE’s respective assets. The Company did not have any unfunded commitments related to consolidated VIEs as of June 30, 2026 and December 31, 2025. The following table presents the assets and liabilities of the Company’s consolidated VIEs as of June 30, 2026 and December 31, 2025 ($ in thousands): </w:t>
      </w:r>
    </w:p>
    <w:p>
      <w:pPr>
        <w:pStyle w:val="TextBody"/>
        <w:bidi w:val="0"/>
        <w:spacing w:before="0" w:after="0"/>
        <w:ind w:left="0" w:right="0" w:hanging="0"/>
        <w:jc w:val="left"/>
        <w:rPr/>
      </w:pPr>
      <w:r>
        <w:rPr/>
        <w:t>​</w:t>
      </w:r>
    </w:p>
    <w:tbl>
      <w:tblPr>
        <w:tblW w:w="7325" w:type="dxa"/>
        <w:jc w:val="left"/>
        <w:tblInd w:w="0" w:type="dxa"/>
        <w:tblLayout w:type="fixed"/>
        <w:tblCellMar>
          <w:top w:w="0" w:type="dxa"/>
          <w:left w:w="0" w:type="dxa"/>
          <w:bottom w:w="0" w:type="dxa"/>
          <w:right w:w="0" w:type="dxa"/>
        </w:tblCellMar>
      </w:tblPr>
      <w:tblGrid>
        <w:gridCol w:w="3961"/>
        <w:gridCol w:w="346"/>
        <w:gridCol w:w="239"/>
        <w:gridCol w:w="887"/>
        <w:gridCol w:w="346"/>
        <w:gridCol w:w="314"/>
        <w:gridCol w:w="1232"/>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515235" cy="175260"/>
                      <wp:effectExtent l="0" t="0" r="0" b="0"/>
                      <wp:wrapNone/>
                      <wp:docPr id="107" name="Frame107"/>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51765" cy="175260"/>
                      <wp:effectExtent l="0" t="0" r="0" b="0"/>
                      <wp:wrapNone/>
                      <wp:docPr id="109" name="Frame10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63245" cy="175260"/>
                      <wp:effectExtent l="0" t="0" r="0" b="0"/>
                      <wp:wrapNone/>
                      <wp:docPr id="110" name="Frame110"/>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99390" cy="175260"/>
                      <wp:effectExtent l="0" t="0" r="0" b="0"/>
                      <wp:wrapNone/>
                      <wp:docPr id="112" name="Frame112"/>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782320" cy="175260"/>
                      <wp:effectExtent l="0" t="0" r="0" b="0"/>
                      <wp:wrapNone/>
                      <wp:docPr id="113" name="Frame113"/>
                      <a:graphic xmlns:a="http://schemas.openxmlformats.org/drawingml/2006/main">
                        <a:graphicData uri="http://schemas.microsoft.com/office/word/2010/wordprocessingShape">
                          <wps:wsp>
                            <wps:cNvSpPr txBox="1"/>
                            <wps:spPr>
                              <a:xfrm>
                                <a:off x="0" y="0"/>
                                <a:ext cx="782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0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9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961"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14" w:type="dxa"/>
            <w:tcBorders/>
            <w:shd w:fill="CCEEFF" w:val="clear"/>
            <w:vAlign w:val="center"/>
          </w:tcPr>
          <w:p>
            <w:pPr>
              <w:pStyle w:val="TableContents"/>
              <w:bidi w:val="0"/>
              <w:spacing w:before="0" w:after="1"/>
              <w:ind w:left="0" w:right="0" w:hanging="0"/>
              <w:jc w:val="left"/>
              <w:rPr/>
            </w:pPr>
            <w:r>
              <w:rPr/>
              <w:t>​</w:t>
            </w:r>
          </w:p>
        </w:tc>
        <w:tc>
          <w:tcPr>
            <w:tcW w:w="1232" w:type="dxa"/>
            <w:tcBorders/>
            <w:shd w:fill="CCEEFF" w:val="clear"/>
            <w:vAlign w:val="center"/>
          </w:tcPr>
          <w:p>
            <w:pPr>
              <w:pStyle w:val="TableContents"/>
              <w:bidi w:val="0"/>
              <w:spacing w:before="0" w:after="1"/>
              <w:ind w:left="0" w:right="0" w:hanging="0"/>
              <w:jc w:val="right"/>
              <w:rPr/>
            </w:pPr>
            <w:r>
              <w:rPr/>
              <w:t>  ​</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314" w:type="dxa"/>
            <w:tcBorders/>
            <w:vAlign w:val="center"/>
          </w:tcPr>
          <w:p>
            <w:pPr>
              <w:pStyle w:val="TableContents"/>
              <w:bidi w:val="0"/>
              <w:spacing w:before="0" w:after="1"/>
              <w:ind w:left="0" w:right="0" w:hanging="0"/>
              <w:jc w:val="left"/>
              <w:rPr/>
            </w:pPr>
            <w:r>
              <w:rPr/>
              <w:t>​</w:t>
            </w:r>
          </w:p>
        </w:tc>
        <w:tc>
          <w:tcPr>
            <w:tcW w:w="1232" w:type="dxa"/>
            <w:tcBorders/>
            <w:vAlign w:val="center"/>
          </w:tcPr>
          <w:p>
            <w:pPr>
              <w:pStyle w:val="TableContents"/>
              <w:bidi w:val="0"/>
              <w:spacing w:before="0" w:after="1"/>
              <w:ind w:left="0" w:right="0" w:hanging="0"/>
              <w:jc w:val="right"/>
              <w:rPr/>
            </w:pPr>
            <w:r>
              <w:rPr/>
              <w:t>  ​</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at cost (refer to Note 4 and Note 5)</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92,478</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176,262</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(27,146)</w:t>
            </w:r>
          </w:p>
        </w:tc>
        <w:tc>
          <w:tcPr>
            <w:tcW w:w="346"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(28,658)</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net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65,332</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 </w:t>
            </w:r>
          </w:p>
        </w:tc>
        <w:tc>
          <w:tcPr>
            <w:tcW w:w="12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147,604</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and development, net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55,562</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12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71,132</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Cash </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9,472</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 </w:t>
            </w:r>
          </w:p>
        </w:tc>
        <w:tc>
          <w:tcPr>
            <w:tcW w:w="12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7,863</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operating lease income receivable, net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1232" w:type="dxa"/>
            <w:tcBorders/>
            <w:vAlign w:val="center"/>
          </w:tcPr>
          <w:p>
            <w:pPr>
              <w:pStyle w:val="TableContents"/>
              <w:bidi w:val="0"/>
              <w:spacing w:before="0" w:after="1"/>
              <w:ind w:left="0" w:right="0" w:hanging="0"/>
              <w:jc w:val="right"/>
              <w:rPr/>
            </w:pPr>
            <w:r>
              <w:rPr/>
              <w: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expenses and other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6,723</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8,524</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137,097</w:t>
            </w:r>
          </w:p>
        </w:tc>
        <w:tc>
          <w:tcPr>
            <w:tcW w:w="346" w:type="dxa"/>
            <w:tcBorders/>
            <w:vAlign w:val="center"/>
          </w:tcPr>
          <w:p>
            <w:pPr>
              <w:pStyle w:val="TableContents"/>
              <w:bidi w:val="0"/>
              <w:spacing w:before="0" w:after="1"/>
              <w:ind w:left="0" w:right="0" w:hanging="0"/>
              <w:jc w:val="left"/>
              <w:rPr/>
            </w:pPr>
            <w:r>
              <w:rPr/>
              <w:t>​</w:t>
            </w:r>
          </w:p>
        </w:tc>
        <w:tc>
          <w:tcPr>
            <w:tcW w:w="3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235,123</w:t>
            </w:r>
          </w:p>
        </w:tc>
      </w:tr>
      <w:tr>
        <w:trPr/>
        <w:tc>
          <w:tcPr>
            <w:tcW w:w="3961"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 </w:t>
            </w:r>
          </w:p>
        </w:tc>
        <w:tc>
          <w:tcPr>
            <w:tcW w:w="1232" w:type="dxa"/>
            <w:tcBorders/>
            <w:shd w:fill="CCEEFF" w:val="clear"/>
            <w:vAlign w:val="center"/>
          </w:tcPr>
          <w:p>
            <w:pPr>
              <w:pStyle w:val="TableContents"/>
              <w:bidi w:val="0"/>
              <w:spacing w:before="0" w:after="1"/>
              <w:ind w:left="0" w:right="0" w:hanging="0"/>
              <w:jc w:val="right"/>
              <w:rPr/>
            </w:pPr>
            <w:r>
              <w:rPr/>
              <w:t>  ​</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8,889</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91,077</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3—Summary of Significant Accounting Policies</w:t>
      </w:r>
    </w:p>
    <w:p>
      <w:pPr>
        <w:pStyle w:val="TextBody"/>
        <w:bidi w:val="0"/>
        <w:spacing w:before="0" w:after="0"/>
        <w:ind w:left="0" w:right="0" w:firstLine="400"/>
        <w:jc w:val="both"/>
        <w:rPr>
          <w:rFonts w:ascii="Times New Roman;Times;serif" w:hAnsi="Times New Roman;Times;serif"/>
          <w:sz w:val="20"/>
          <w:shd w:fill="FFFFFF" w:val="clear"/>
        </w:rPr>
      </w:pPr>
      <w:r>
        <w:rPr>
          <w:rFonts w:ascii="Times New Roman;Times;serif" w:hAnsi="Times New Roman;Times;serif"/>
          <w:sz w:val="20"/>
          <w:shd w:fill="FFFFFF" w:val="clear"/>
        </w:rPr>
        <w:t>The Company’s significant accounting policies have not changed materially from those described in the 2025 Annual Report. Please refer to the 2025 Annual Report for the Company’s significant accounting policies.</w:t>
      </w:r>
    </w:p>
    <w:p>
      <w:pPr>
        <w:pStyle w:val="TextBody"/>
        <w:bidi w:val="0"/>
        <w:spacing w:before="0" w:after="0"/>
        <w:ind w:left="0" w:right="0" w:firstLine="400"/>
        <w:jc w:val="both"/>
        <w:rPr>
          <w:shd w:fill="FFFFFF" w:val="clear"/>
        </w:rPr>
      </w:pPr>
      <w:r>
        <w:rPr>
          <w:shd w:fill="FFFFFF" w:val="clea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color w:val="212529"/>
          <w:sz w:val="20"/>
        </w:rPr>
        <w:t>New accounting pronouncements</w:t>
      </w:r>
      <w:r>
        <w:rPr>
          <w:rFonts w:ascii="Times New Roman;Times;serif" w:hAnsi="Times New Roman;Times;serif"/>
          <w:color w:val="212529"/>
          <w:sz w:val="20"/>
        </w:rPr>
        <w:t>—</w:t>
      </w:r>
      <w:r>
        <w:rPr>
          <w:rFonts w:ascii="Times New Roman;Times;serif" w:hAnsi="Times New Roman;Times;serif"/>
          <w:sz w:val="20"/>
        </w:rPr>
        <w:t xml:space="preserve">In November 2024, the Financial Accounting Standards Board issued Accounting Standards Update 2024-03, “Disaggregation of Income Statement Expenses” (“ASU 2024-03”). ASU 2024-03 requires disclosure of additional information about specific cost and expense categories in the notes to the financial statements. ASU 2024-03 is effective for annual periods beginning after December 15, 2026 and interim reporting periods beginning after December 15, 2027. </w:t>
      </w:r>
      <w:r>
        <w:rPr>
          <w:rFonts w:ascii="Times New Roman;Times;serif" w:hAnsi="Times New Roman;Times;serif"/>
          <w:color w:val="212529"/>
          <w:spacing w:val="4"/>
          <w:sz w:val="20"/>
        </w:rPr>
        <w:t>The Company is currently evaluating ASU 2024-03 but does not expect this standard to have a material impact on its consolidated financial statements.</w:t>
      </w:r>
    </w:p>
    <w:p>
      <w:pPr>
        <w:pStyle w:val="TextBody"/>
        <w:bidi w:val="0"/>
        <w:spacing w:before="0" w:after="240"/>
        <w:ind w:left="0" w:right="0" w:hanging="0"/>
        <w:jc w:val="left"/>
        <w:rPr>
          <w:rFonts w:ascii="Times New Roman;Times;serif" w:hAnsi="Times New Roman;Times;serif"/>
          <w:b/>
          <w:sz w:val="20"/>
        </w:rPr>
      </w:pPr>
      <w:bookmarkStart w:id="747" w:name="Tc_IxYLuUvUoEGEWGpr8VoOoA_6_5"/>
      <w:bookmarkStart w:id="748" w:name="Tc_I8BwHFaJPUq0kIJV11zxYA_6_2"/>
      <w:bookmarkStart w:id="749" w:name="Tc_LAq3k9oTvEObPxSyjjJjeA_6_0"/>
      <w:bookmarkStart w:id="750" w:name="Tc_p8xwZxA1GkSxZgK0wHkKQw_5_0"/>
      <w:bookmarkStart w:id="751" w:name="Tc__s-uEHcS-0KuO-86_KkYZQ_4_0"/>
      <w:bookmarkStart w:id="752" w:name="Tc_yuLibkIYj0KjV9rmvHlcnw_3_5"/>
      <w:bookmarkStart w:id="753" w:name="Tc_Sfj4r8Kvpk2BCt3GdaHHaw_3_2"/>
      <w:bookmarkStart w:id="754" w:name="Tc_PQiRjAZ6Skiw65jOM_a8pw_3_0"/>
      <w:bookmarkStart w:id="755" w:name="Tc_gMpwlI6T1Eys-lEZCkSVNw_2_5"/>
      <w:bookmarkStart w:id="756" w:name="Tc_FDKZssGhQkKsI0NiQR2www_2_2"/>
      <w:bookmarkStart w:id="757" w:name="Tc_lgOP0DddMEyrCPngjp_mLw_1_2"/>
      <w:bookmarkStart w:id="758" w:name="_04219976_4122_4fec_80c9_caf78ff52427"/>
      <w:bookmarkEnd w:id="747"/>
      <w:bookmarkEnd w:id="748"/>
      <w:bookmarkEnd w:id="749"/>
      <w:bookmarkEnd w:id="750"/>
      <w:bookmarkEnd w:id="751"/>
      <w:bookmarkEnd w:id="752"/>
      <w:bookmarkEnd w:id="753"/>
      <w:bookmarkEnd w:id="754"/>
      <w:bookmarkEnd w:id="755"/>
      <w:bookmarkEnd w:id="756"/>
      <w:bookmarkEnd w:id="757"/>
      <w:bookmarkEnd w:id="758"/>
      <w:r>
        <w:rPr>
          <w:rFonts w:ascii="Times New Roman;Times;serif" w:hAnsi="Times New Roman;Times;serif"/>
          <w:b/>
          <w:sz w:val="20"/>
        </w:rPr>
        <w:t>Note 4—Real Estate</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The Company’s real estate assets were comprised of the following ($ in thousands):</w:t>
      </w:r>
      <w:r>
        <w:rPr>
          <w:rFonts w:ascii="Times New Roman;Times;serif" w:hAnsi="Times New Roman;Times;serif"/>
          <w:sz w:val="15"/>
        </w:rPr>
        <w:t>(1)</w:t>
      </w:r>
    </w:p>
    <w:tbl>
      <w:tblPr>
        <w:tblW w:w="6454" w:type="dxa"/>
        <w:jc w:val="left"/>
        <w:tblInd w:w="0" w:type="dxa"/>
        <w:tblLayout w:type="fixed"/>
        <w:tblCellMar>
          <w:top w:w="0" w:type="dxa"/>
          <w:left w:w="0" w:type="dxa"/>
          <w:bottom w:w="0" w:type="dxa"/>
          <w:right w:w="0" w:type="dxa"/>
        </w:tblCellMar>
      </w:tblPr>
      <w:tblGrid>
        <w:gridCol w:w="3091"/>
        <w:gridCol w:w="346"/>
        <w:gridCol w:w="250"/>
        <w:gridCol w:w="876"/>
        <w:gridCol w:w="346"/>
        <w:gridCol w:w="294"/>
        <w:gridCol w:w="125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962785" cy="175260"/>
                      <wp:effectExtent l="0" t="0" r="0" b="0"/>
                      <wp:wrapNone/>
                      <wp:docPr id="114" name="Frame114"/>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58750" cy="175260"/>
                      <wp:effectExtent l="0" t="0" r="0" b="0"/>
                      <wp:wrapNone/>
                      <wp:docPr id="116" name="Frame116"/>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56260" cy="175260"/>
                      <wp:effectExtent l="0" t="0" r="0" b="0"/>
                      <wp:wrapNone/>
                      <wp:docPr id="117" name="Frame117"/>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86690" cy="175260"/>
                      <wp:effectExtent l="0" t="0" r="0" b="0"/>
                      <wp:wrapNone/>
                      <wp:docPr id="119" name="Frame119"/>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794385" cy="175260"/>
                      <wp:effectExtent l="0" t="0" r="0" b="0"/>
                      <wp:wrapNone/>
                      <wp:docPr id="120" name="Frame120"/>
                      <a:graphic xmlns:a="http://schemas.openxmlformats.org/drawingml/2006/main">
                        <a:graphicData uri="http://schemas.microsoft.com/office/word/2010/wordprocessingShape">
                          <wps:wsp>
                            <wps:cNvSpPr txBox="1"/>
                            <wps:spPr>
                              <a:xfrm>
                                <a:off x="0" y="0"/>
                                <a:ext cx="794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01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at cost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4,984</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5,570</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 and improvements, at cost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90,294</w:t>
            </w:r>
          </w:p>
        </w:tc>
        <w:tc>
          <w:tcPr>
            <w:tcW w:w="34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pPr>
            <w:r>
              <w:rPr/>
              <w:t> </w:t>
            </w:r>
          </w:p>
        </w:tc>
        <w:tc>
          <w:tcPr>
            <w:tcW w:w="12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173,492</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(28,277)</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(29,713)</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net</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67,001</w:t>
            </w:r>
          </w:p>
        </w:tc>
        <w:tc>
          <w:tcPr>
            <w:tcW w:w="346" w:type="dxa"/>
            <w:tcBorders/>
            <w:vAlign w:val="center"/>
          </w:tcPr>
          <w:p>
            <w:pPr>
              <w:pStyle w:val="TableContents"/>
              <w:bidi w:val="0"/>
              <w:spacing w:before="0" w:after="1"/>
              <w:ind w:left="0" w:right="0" w:hanging="0"/>
              <w:jc w:val="left"/>
              <w:rPr/>
            </w:pPr>
            <w:r>
              <w:rPr/>
              <w:t>​</w:t>
            </w:r>
          </w:p>
        </w:tc>
        <w:tc>
          <w:tcPr>
            <w:tcW w:w="2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149,349</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16"/>
              </w:rPr>
              <w:t xml:space="preserve">In March 2026, a real estate asset was deconsolidated </w:t>
            </w:r>
            <w:r>
              <w:rPr>
                <w:rFonts w:ascii="Times New Roman;Times;serif" w:hAnsi="Times New Roman;Times;serif"/>
                <w:b w:val="false"/>
                <w:i w:val="false"/>
                <w:caps w:val="false"/>
                <w:smallCaps w:val="false"/>
                <w:sz w:val="16"/>
              </w:rPr>
              <w:t>when a mezzanine loan provided by the Company was repaid in full and the Company’s senior loan guaranties were released by the lender (refer to Note 5).</w:t>
            </w:r>
            <w:r>
              <w:rPr>
                <w:caps w:val="false"/>
                <w:smallCaps w:val="false"/>
              </w:rPr>
              <w:t xml:space="preserve"> </w:t>
            </w:r>
            <w:r>
              <w:rPr>
                <w:rFonts w:ascii="Times New Roman;Times;serif" w:hAnsi="Times New Roman;Times;serif"/>
                <w:b w:val="false"/>
                <w:i w:val="false"/>
                <w:caps w:val="false"/>
                <w:smallCaps w:val="false"/>
                <w:spacing w:val="4"/>
                <w:sz w:val="16"/>
              </w:rPr>
              <w:t>Additionally, during the three and six months ended June 30, 2026, the Company recognized $14.4</w:t>
            </w:r>
            <w:r>
              <w:rPr>
                <w:caps w:val="false"/>
                <w:smallCaps w:val="false"/>
                <w:spacing w:val="4"/>
              </w:rPr>
              <w:t xml:space="preserve"> </w:t>
            </w:r>
            <w:r>
              <w:rPr>
                <w:rFonts w:ascii="Times New Roman;Times;serif" w:hAnsi="Times New Roman;Times;serif"/>
                <w:b w:val="false"/>
                <w:i w:val="false"/>
                <w:caps w:val="false"/>
                <w:smallCaps w:val="false"/>
                <w:spacing w:val="4"/>
                <w:sz w:val="16"/>
              </w:rPr>
              <w:t>million of “Income from sales of real estate” in the Company’s consolidated statements of operations resulting from the recognition of a sale of an asset with a carrying value of $2.6</w:t>
            </w:r>
            <w:r>
              <w:rPr>
                <w:caps w:val="false"/>
                <w:smallCaps w:val="false"/>
                <w:spacing w:val="4"/>
              </w:rPr>
              <w:t xml:space="preserve"> </w:t>
            </w:r>
            <w:r>
              <w:rPr>
                <w:rFonts w:ascii="Times New Roman;Times;serif" w:hAnsi="Times New Roman;Times;serif"/>
                <w:b w:val="false"/>
                <w:i w:val="false"/>
                <w:caps w:val="false"/>
                <w:smallCaps w:val="false"/>
                <w:spacing w:val="4"/>
                <w:sz w:val="16"/>
              </w:rPr>
              <w:t xml:space="preserve">million upon the expiration of a lease in June 2026 as the Company surrendered the property to a local municipality.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bidi w:val="0"/>
        <w:spacing w:before="0" w:after="240"/>
        <w:ind w:left="0" w:right="0" w:firstLine="360"/>
        <w:jc w:val="both"/>
        <w:rPr>
          <w:rFonts w:ascii="Times New Roman;Times;serif" w:hAnsi="Times New Roman;Times;serif"/>
          <w:sz w:val="20"/>
        </w:rPr>
      </w:pPr>
      <w:bookmarkStart w:id="759" w:name="Tc_V2BzfPUT-EilguMtjMR75w_7_3"/>
      <w:bookmarkStart w:id="760" w:name="Tc_Bt1TLAl4X0yHkfuE3GgB1Q_7_0"/>
      <w:bookmarkStart w:id="761" w:name="Tc_ZvGwDe0vOk6iFWITqYctVA_6_3"/>
      <w:bookmarkStart w:id="762" w:name="Tc_F8tD3iMt-EW_LNrv1wHKrA_6_0"/>
      <w:bookmarkStart w:id="763" w:name="Tc_8uSEm_L1CEi4lco8cUzgyw_5_3"/>
      <w:bookmarkStart w:id="764" w:name="Tc_oUc9o1VeZ02uhmz3qSBK2A_5_0"/>
      <w:bookmarkStart w:id="765" w:name="Tc_uj-o72cN00KYLm5Nn4DSIw_4_0"/>
      <w:bookmarkStart w:id="766" w:name="Tc_HUQRAkI1f0mviBri05_HSw_3_0"/>
      <w:bookmarkStart w:id="767" w:name="Tc_Vr8dzgTzFUCR6M6DfY00lw_2_2"/>
      <w:bookmarkStart w:id="768" w:name="Tc_gV1C4Znd1EK-GYwmXdEPxA_2_0"/>
      <w:bookmarkStart w:id="769" w:name="Tc_27HTOn4zgEWPDI6DrGNuVA_1_2"/>
      <w:bookmarkStart w:id="770" w:name="Tc_SRpx0u2_NEa6zDsfa4ENFw_1_0"/>
      <w:bookmarkStart w:id="771" w:name="_e3cc2660_895d_41e2_84c6_c6a80dece2d3"/>
      <w:bookmarkEnd w:id="759"/>
      <w:bookmarkEnd w:id="760"/>
      <w:bookmarkEnd w:id="761"/>
      <w:bookmarkEnd w:id="762"/>
      <w:bookmarkEnd w:id="763"/>
      <w:bookmarkEnd w:id="764"/>
      <w:bookmarkEnd w:id="765"/>
      <w:bookmarkEnd w:id="766"/>
      <w:bookmarkEnd w:id="767"/>
      <w:bookmarkEnd w:id="768"/>
      <w:bookmarkEnd w:id="769"/>
      <w:bookmarkEnd w:id="770"/>
      <w:bookmarkEnd w:id="771"/>
      <w:r>
        <w:rPr>
          <w:rFonts w:ascii="Times New Roman;Times;serif" w:hAnsi="Times New Roman;Times;serif"/>
          <w:b/>
          <w:sz w:val="20"/>
        </w:rPr>
        <w:t>Tenant Reimbursements—</w:t>
      </w:r>
      <w:r>
        <w:rPr>
          <w:rFonts w:ascii="Times New Roman;Times;serif" w:hAnsi="Times New Roman;Times;serif"/>
          <w:sz w:val="20"/>
        </w:rPr>
        <w:t xml:space="preserve">The Company receives reimbursements from tenants for certain facility operating expenses including common area costs, insurance, utilities and real estate taxes. Tenant reimbursements were $1.0 million </w:t>
      </w:r>
      <w:r>
        <w:rPr>
          <w:rFonts w:ascii="Times New Roman;Times;serif" w:hAnsi="Times New Roman;Times;serif"/>
          <w:sz w:val="20"/>
          <w:shd w:fill="FFFFFF" w:val="clear"/>
        </w:rPr>
        <w:t>and $0.6 million for the three months ended June 30, 2026 and 2025, respectively.</w:t>
      </w:r>
      <w:r>
        <w:rPr>
          <w:rFonts w:ascii="Times New Roman;Times;serif" w:hAnsi="Times New Roman;Times;serif"/>
          <w:sz w:val="20"/>
        </w:rPr>
        <w:t xml:space="preserve"> Tenant reimbursements were $1.5 million </w:t>
      </w:r>
      <w:r>
        <w:rPr>
          <w:rFonts w:ascii="Times New Roman;Times;serif" w:hAnsi="Times New Roman;Times;serif"/>
          <w:sz w:val="20"/>
          <w:shd w:fill="FFFFFF" w:val="clear"/>
        </w:rPr>
        <w:t xml:space="preserve">and $1.0 million for the six months ended June 30, 2026 and 2025, respectively. </w:t>
      </w:r>
      <w:r>
        <w:rPr>
          <w:rFonts w:ascii="Times New Roman;Times;serif" w:hAnsi="Times New Roman;Times;serif"/>
          <w:sz w:val="20"/>
        </w:rPr>
        <w:t>These amounts are included in “Operating lease income” in the Company’s consolidated statements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Allowance for Doubtful Accounts—</w:t>
      </w:r>
      <w:r>
        <w:rPr>
          <w:rFonts w:ascii="Times New Roman;Times;serif" w:hAnsi="Times New Roman;Times;serif"/>
          <w:sz w:val="20"/>
        </w:rPr>
        <w:t>As of June 30, 2026 and December 31, 2025, the allowance for doubtful accounts related to real estate tenant receivables was $0.1 million and $0.2 million, respectively. These amounts are included in “Accrued interest and operating lease income receivable, net” on the Company’s consolidated balance sheets.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b/>
          <w:sz w:val="20"/>
        </w:rPr>
        <w:t>Future Minimum Operating Lease Payments</w:t>
      </w:r>
      <w:r>
        <w:rPr>
          <w:rFonts w:ascii="Times New Roman;Times;serif" w:hAnsi="Times New Roman;Times;serif"/>
          <w:sz w:val="20"/>
        </w:rPr>
        <w:t xml:space="preserve">—Future minimum operating lease payments to be collected under non-cancelable operating leases, excluding tenant reimbursements of expenses, in effect as of June 30, 2026, are as follows by year ($ in thousands): </w:t>
      </w:r>
    </w:p>
    <w:tbl>
      <w:tblPr>
        <w:tblW w:w="3397" w:type="dxa"/>
        <w:jc w:val="left"/>
        <w:tblInd w:w="0" w:type="dxa"/>
        <w:tblLayout w:type="fixed"/>
        <w:tblCellMar>
          <w:top w:w="0" w:type="dxa"/>
          <w:left w:w="0" w:type="dxa"/>
          <w:bottom w:w="0" w:type="dxa"/>
          <w:right w:w="0" w:type="dxa"/>
        </w:tblCellMar>
      </w:tblPr>
      <w:tblGrid>
        <w:gridCol w:w="2461"/>
        <w:gridCol w:w="109"/>
        <w:gridCol w:w="211"/>
        <w:gridCol w:w="616"/>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562735" cy="175260"/>
                      <wp:effectExtent l="0" t="0" r="0" b="0"/>
                      <wp:wrapNone/>
                      <wp:docPr id="121" name="Frame121"/>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22" name="Frame1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91160" cy="175260"/>
                      <wp:effectExtent l="0" t="0" r="0" b="0"/>
                      <wp:wrapNone/>
                      <wp:docPr id="124" name="Frame12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 six months)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772" w:name="Tc_2lOa234MqEyvKc5W9-NBQg_6_5"/>
      <w:bookmarkStart w:id="773" w:name="Tc_1Af8u13yCUWdt3oMbeD53w_6_2"/>
      <w:bookmarkStart w:id="774" w:name="Tc_y-oPTO_uV0--C4HOrWTmgg_6_0"/>
      <w:bookmarkStart w:id="775" w:name="Tc_F1Qr6EwWS0-bSt8JZJaGpA_5_0"/>
      <w:bookmarkStart w:id="776" w:name="Tc_cUXVcZbClEeolMAVoB9DGw_4_5"/>
      <w:bookmarkStart w:id="777" w:name="Tc_KQVxboX1CkaYJGumcop2sA_4_2"/>
      <w:bookmarkStart w:id="778" w:name="Tc_3mZAj4DzyUa_nId4mCBtRw_4_0"/>
      <w:bookmarkStart w:id="779" w:name="Tc_gp0JFbHm-02MAGLOV7Tu4g_3_5"/>
      <w:bookmarkStart w:id="780" w:name="Tc_G2U3b0Iy60C5VnfdrVA_-g_3_2"/>
      <w:bookmarkStart w:id="781" w:name="Tc_MTiJTNSP4Ea8XuwnYCPEfQ_2_5"/>
      <w:bookmarkStart w:id="782" w:name="Tc_H_QMv3l5DEmny4O8oKD6Ew_2_2"/>
      <w:bookmarkStart w:id="783" w:name="Tc_vMgnTnflz0qlbI1j5eaDIg_1_2"/>
      <w:bookmarkStart w:id="784" w:name="_4124676f_c590_44b3_8c7b_8d0a69d9327a"/>
      <w:bookmarkEnd w:id="772"/>
      <w:bookmarkEnd w:id="773"/>
      <w:bookmarkEnd w:id="774"/>
      <w:bookmarkEnd w:id="775"/>
      <w:bookmarkEnd w:id="776"/>
      <w:bookmarkEnd w:id="777"/>
      <w:bookmarkEnd w:id="778"/>
      <w:bookmarkEnd w:id="779"/>
      <w:bookmarkEnd w:id="780"/>
      <w:bookmarkEnd w:id="781"/>
      <w:bookmarkEnd w:id="782"/>
      <w:bookmarkEnd w:id="783"/>
      <w:bookmarkEnd w:id="784"/>
      <w:r>
        <w:rPr>
          <w:rFonts w:ascii="Times New Roman;Times;serif" w:hAnsi="Times New Roman;Times;serif"/>
          <w:b/>
          <w:sz w:val="20"/>
        </w:rPr>
        <w:t>Note 5—Land and Development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land and development assets were comprised of the following ($ in thousands): </w:t>
      </w:r>
    </w:p>
    <w:tbl>
      <w:tblPr>
        <w:tblW w:w="5840" w:type="dxa"/>
        <w:jc w:val="left"/>
        <w:tblInd w:w="0" w:type="dxa"/>
        <w:tblLayout w:type="fixed"/>
        <w:tblCellMar>
          <w:top w:w="0" w:type="dxa"/>
          <w:left w:w="0" w:type="dxa"/>
          <w:bottom w:w="0" w:type="dxa"/>
          <w:right w:w="0" w:type="dxa"/>
        </w:tblCellMar>
      </w:tblPr>
      <w:tblGrid>
        <w:gridCol w:w="3016"/>
        <w:gridCol w:w="346"/>
        <w:gridCol w:w="211"/>
        <w:gridCol w:w="796"/>
        <w:gridCol w:w="286"/>
        <w:gridCol w:w="228"/>
        <w:gridCol w:w="957"/>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915160" cy="175260"/>
                      <wp:effectExtent l="0" t="0" r="0" b="0"/>
                      <wp:wrapNone/>
                      <wp:docPr id="125" name="Frame125"/>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05460" cy="175260"/>
                      <wp:effectExtent l="0" t="0" r="0" b="0"/>
                      <wp:wrapNone/>
                      <wp:docPr id="128" name="Frame12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81610" cy="175260"/>
                      <wp:effectExtent l="0" t="0" r="0" b="0"/>
                      <wp:wrapNone/>
                      <wp:docPr id="129" name="Frame12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44780" cy="175260"/>
                      <wp:effectExtent l="0" t="0" r="0" b="0"/>
                      <wp:wrapNone/>
                      <wp:docPr id="130" name="Frame13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07695" cy="175260"/>
                      <wp:effectExtent l="0" t="0" r="0" b="0"/>
                      <wp:wrapNone/>
                      <wp:docPr id="131" name="Frame131"/>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4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8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86" w:type="dxa"/>
            <w:tcBorders/>
            <w:vAlign w:val="center"/>
          </w:tcPr>
          <w:p>
            <w:pPr>
              <w:pStyle w:val="TableContents"/>
              <w:bidi w:val="0"/>
              <w:spacing w:before="0" w:after="0"/>
              <w:ind w:left="0" w:right="0" w:hanging="0"/>
              <w:jc w:val="left"/>
              <w:rPr/>
            </w:pPr>
            <w:r>
              <w:rPr/>
              <w:t>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and land development, at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112,040</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123,280</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(10,651)</w:t>
            </w:r>
          </w:p>
        </w:tc>
        <w:tc>
          <w:tcPr>
            <w:tcW w:w="28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(10,444)</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land and development,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101,389</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112,836</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sz w:val="20"/>
        </w:rPr>
        <w:t>Dispositions—</w:t>
      </w:r>
      <w:r>
        <w:rPr>
          <w:rFonts w:ascii="Times New Roman;Times;serif" w:hAnsi="Times New Roman;Times;serif"/>
          <w:sz w:val="20"/>
        </w:rPr>
        <w:t xml:space="preserve"> During the three and six months ended June 30, 2026, the Company recognized land development revenue of $1.2 million and $1.5 million, respectively, as variable consideration received in connection with a prior sale from its land and development portfolio. The variable consideration is based on the current owner’s sale activity from the land parcel and is recognized in revenue as earned upon actual sales occurring due to uncertainty around the extent and timing of such sales. During the three months ended June 30, 2025, the Company sold land parcels and residential lots and units and recognized land development revenue of $26.6 million and land development cost of sales of $18.5 million from its land and development portfolio. During the six months ended June 30, 2026 and 2025, the Company sold land parcels and residential lots and units and recognized land development revenue of $10.7 million and $31.8 million, respectively, and land development cost of sales of $9.3 million and $25.3 million, respectively, from its land and development portfolio.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December 2023, the Company transferred the ownership interests in a subsidiary land owner to a third-party venture (the “Venture”) for the development and construction of a multifamily project in Asbury Park, NJ (the “Project”). In connection with this transfer, the Company (i) provided the Venture with a $10.6 million mezzanine loan that was fully funded at closing and was secured by the ownership interests in the subsidiary land owner (until the mezzanine loan was repaid in full in March 2026); and (ii) provided a completion and carry guaranty on the Venture’s $80.0 million senior construction mortgage loan (refer to Note 9) with a third-party lender in return for a fee. The third-party members provided $21.0 million in cash capital contributions to the Venture, exclusive of a $3.0 million deferred profits interest, which combined represented the total equity capitalization and was included in noncontrolling interests in the Company’s consolidated balance sheet prior to the Venture’s deconsolidation in March 2026. The Venture began operations in September 2025. The Company was a non-member manager of the Venture and was entitled to certain fees, but otherwise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had no expected member-related economics. The Company controlled all decision-making of the Venture until March 2026 when the mezzanine loan was repaid. </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closing, the Company determined that the Venture (and its consolidated subsidiaries developing the Project) was a VIE for which the Company was the primary beneficiary and thus consolidated it under ASC 810. As a result, for accounting purposes, the Project was recorded on the Company’s consolidated financial statements and the mezzanine loan eliminated in consolidation prior to the mezzanine loan being repaid. The Company deconsolidated the Venture in March 2026 when the mezzanine loan was repaid in full and the Company’s senior loan guaranties were released by the lender. The Company recorded $10.6 million of land development revenue, excluding $2.4 million of related accrued interest, and $9.2 million of land development cost of sales in its consolidated statement of operations when the mezzanine loan was repaid in full in March 2026, which represented the Company’s sale of land to the Venture. The Company recorded a $0.4 million loss on deconsolidation which is recorded in “Other expense” in the Company’s consolidated statement of operations.</w:t>
      </w:r>
    </w:p>
    <w:p>
      <w:pPr>
        <w:pStyle w:val="TextBody"/>
        <w:bidi w:val="0"/>
        <w:spacing w:before="0" w:after="240"/>
        <w:ind w:left="0" w:right="0" w:hanging="0"/>
        <w:jc w:val="left"/>
        <w:rPr>
          <w:rFonts w:ascii="Times New Roman;Times;serif" w:hAnsi="Times New Roman;Times;serif"/>
          <w:b/>
          <w:sz w:val="20"/>
        </w:rPr>
      </w:pPr>
      <w:bookmarkStart w:id="785" w:name="Tc_0d0hRTNBfkWbyQEEBhcIWw_12_5"/>
      <w:bookmarkStart w:id="786" w:name="Tc_AoorDBchRUeLc-7rONMKpA_12_2"/>
      <w:bookmarkStart w:id="787" w:name="Tc_1WBVn0y7wUu6tuUFoShTPA_12_0"/>
      <w:bookmarkStart w:id="788" w:name="Tc_9ryHJlsPWkmnbdYFhtPVog_11_0"/>
      <w:bookmarkStart w:id="789" w:name="Tc_r-M3_LvRD0GBIZE_haElUg_10_0"/>
      <w:bookmarkStart w:id="790" w:name="Tc_xbN9PfqBJE-oHWrNIFbGkw_9_0"/>
      <w:bookmarkStart w:id="791" w:name="Tc_nglw6FxKCkWRjcJ0GkaThg_8_0"/>
      <w:bookmarkStart w:id="792" w:name="Tc_9PyIC1C9lEOTbVAjl58iXA_7_0"/>
      <w:bookmarkStart w:id="793" w:name="Tc_KDkYVIy7U06QPPoBNEbkRw_6_0"/>
      <w:bookmarkStart w:id="794" w:name="Tc_Pyq0HyqVhUenS4DD47Ozcw_5_0"/>
      <w:bookmarkStart w:id="795" w:name="Tc_vmmXzDlXhUi4iiX_Aj6qSw_4_5"/>
      <w:bookmarkStart w:id="796" w:name="Tc_nnCz0lNYgEuJbBXWmeneAg_4_2"/>
      <w:bookmarkStart w:id="797" w:name="Tc_PbDhjEVo00ijDYL3EVymXA_4_0"/>
      <w:bookmarkStart w:id="798" w:name="Tc_yW1l5PSf0kmt6I0vziyZBw_3_0"/>
      <w:bookmarkStart w:id="799" w:name="Tc_4xell3moSUmDdDDGnG0J-g_2_5"/>
      <w:bookmarkStart w:id="800" w:name="Tc_VphR9xjIwkCBdiVkTP-HvQ_2_2"/>
      <w:bookmarkStart w:id="801" w:name="Tc_CjCUDEVXJEq0VWi2W_GLfQ_1_2"/>
      <w:bookmarkStart w:id="802" w:name="_eb75f940_5cd3_4eb2_ba63_5ab815fe07d3"/>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r>
        <w:rPr>
          <w:rFonts w:ascii="Times New Roman;Times;serif" w:hAnsi="Times New Roman;Times;serif"/>
          <w:b/>
          <w:sz w:val="20"/>
        </w:rPr>
        <w:t>Note 6—Loans Receivable and Other Lending Investments, net</w:t>
      </w:r>
    </w:p>
    <w:p>
      <w:pPr>
        <w:pStyle w:val="TextBody"/>
        <w:bidi w:val="0"/>
        <w:spacing w:lineRule="auto" w:line="240" w:before="0" w:after="120"/>
        <w:ind w:left="0" w:right="0" w:firstLine="360"/>
        <w:jc w:val="both"/>
        <w:rPr>
          <w:rFonts w:ascii="Times New Roman;Times;serif" w:hAnsi="Times New Roman;Times;serif"/>
          <w:sz w:val="20"/>
        </w:rPr>
      </w:pPr>
      <w:r>
        <w:rPr>
          <w:rFonts w:ascii="Times New Roman;Times;serif" w:hAnsi="Times New Roman;Times;serif"/>
          <w:sz w:val="20"/>
        </w:rPr>
        <w:t xml:space="preserve">The following is a summary of the Company’s loans receivable and other lending investments by class ($ in thousands): </w:t>
      </w:r>
      <w:r>
        <w:rPr>
          <w:rFonts w:ascii="Times New Roman;Times;serif" w:hAnsi="Times New Roman;Times;serif"/>
          <w:sz w:val="15"/>
        </w:rPr>
        <w:t xml:space="preserve">(1) </w:t>
      </w:r>
    </w:p>
    <w:tbl>
      <w:tblPr>
        <w:tblW w:w="9890" w:type="dxa"/>
        <w:jc w:val="left"/>
        <w:tblInd w:w="0" w:type="dxa"/>
        <w:tblLayout w:type="fixed"/>
        <w:tblCellMar>
          <w:top w:w="0" w:type="dxa"/>
          <w:left w:w="0" w:type="dxa"/>
          <w:bottom w:w="0" w:type="dxa"/>
          <w:right w:w="0" w:type="dxa"/>
        </w:tblCellMar>
      </w:tblPr>
      <w:tblGrid>
        <w:gridCol w:w="6586"/>
        <w:gridCol w:w="346"/>
        <w:gridCol w:w="267"/>
        <w:gridCol w:w="859"/>
        <w:gridCol w:w="286"/>
        <w:gridCol w:w="328"/>
        <w:gridCol w:w="1218"/>
      </w:tblGrid>
      <w:tr>
        <w:trPr/>
        <w:tc>
          <w:tcPr>
            <w:tcW w:w="6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182110" cy="175260"/>
                      <wp:effectExtent l="0" t="0" r="0" b="0"/>
                      <wp:wrapNone/>
                      <wp:docPr id="132" name="Frame132"/>
                      <a:graphic xmlns:a="http://schemas.openxmlformats.org/drawingml/2006/main">
                        <a:graphicData uri="http://schemas.microsoft.com/office/word/2010/wordprocessingShape">
                          <wps:wsp>
                            <wps:cNvSpPr txBox="1"/>
                            <wps:spPr>
                              <a:xfrm>
                                <a:off x="0" y="0"/>
                                <a:ext cx="418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69545" cy="175260"/>
                      <wp:effectExtent l="0" t="0" r="0" b="0"/>
                      <wp:wrapNone/>
                      <wp:docPr id="134" name="Frame134"/>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45465" cy="175260"/>
                      <wp:effectExtent l="0" t="0" r="0" b="0"/>
                      <wp:wrapNone/>
                      <wp:docPr id="135" name="Frame135"/>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81610" cy="175260"/>
                      <wp:effectExtent l="0" t="0" r="0" b="0"/>
                      <wp:wrapNone/>
                      <wp:docPr id="136" name="Frame13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8280" cy="175260"/>
                      <wp:effectExtent l="0" t="0" r="0" b="0"/>
                      <wp:wrapNone/>
                      <wp:docPr id="137" name="Frame137"/>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773430" cy="175260"/>
                      <wp:effectExtent l="0" t="0" r="0" b="0"/>
                      <wp:wrapNone/>
                      <wp:docPr id="138" name="Frame138"/>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9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6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286" w:type="dxa"/>
            <w:tcBorders/>
            <w:vAlign w:val="center"/>
          </w:tcPr>
          <w:p>
            <w:pPr>
              <w:pStyle w:val="TableContents"/>
              <w:bidi w:val="0"/>
              <w:spacing w:before="0" w:after="1"/>
              <w:ind w:left="0" w:right="0" w:hanging="0"/>
              <w:jc w:val="left"/>
              <w:rPr/>
            </w:pPr>
            <w:r>
              <w:rPr/>
              <w:t>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Loans</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pPr>
            <w:r>
              <w:rPr/>
              <w:t>  ​</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Senior mortgages</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3,050</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Subordinate mortgages</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16,901</w:t>
            </w:r>
          </w:p>
        </w:tc>
        <w:tc>
          <w:tcPr>
            <w:tcW w:w="28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16,337</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 - gross carrying value of loans</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16,901</w:t>
            </w:r>
          </w:p>
        </w:tc>
        <w:tc>
          <w:tcPr>
            <w:tcW w:w="28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19,387</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lending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pPr>
            <w:r>
              <w:rPr/>
              <w:t>  ​</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debt securities</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46,080</w:t>
            </w:r>
          </w:p>
        </w:tc>
        <w:tc>
          <w:tcPr>
            <w:tcW w:w="28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25,286</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 - other lending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46,080</w:t>
            </w:r>
          </w:p>
        </w:tc>
        <w:tc>
          <w:tcPr>
            <w:tcW w:w="28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25,286</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gross carrying value of loans receivable and other lending investments</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62,981</w:t>
            </w:r>
          </w:p>
        </w:tc>
        <w:tc>
          <w:tcPr>
            <w:tcW w:w="28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44,673</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w:t>
            </w:r>
          </w:p>
        </w:tc>
        <w:tc>
          <w:tcPr>
            <w:tcW w:w="28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loans receivable and other lending investments, net</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62,478</w:t>
            </w:r>
          </w:p>
        </w:tc>
        <w:tc>
          <w:tcPr>
            <w:tcW w:w="286" w:type="dxa"/>
            <w:tcBorders/>
            <w:vAlign w:val="center"/>
          </w:tcPr>
          <w:p>
            <w:pPr>
              <w:pStyle w:val="TableContents"/>
              <w:bidi w:val="0"/>
              <w:spacing w:before="0" w:after="1"/>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44,095</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16"/>
              </w:rPr>
              <w:t>As of June 30, 2026 and December 31, 2025, accrued interest was $1.3</w:t>
            </w:r>
            <w:r>
              <w:rPr>
                <w:caps w:val="false"/>
                <w:smallCaps w:val="false"/>
                <w:spacing w:val="4"/>
              </w:rPr>
              <w:t> </w:t>
            </w:r>
            <w:r>
              <w:rPr>
                <w:rFonts w:ascii="Times New Roman;Times;serif" w:hAnsi="Times New Roman;Times;serif"/>
                <w:b w:val="false"/>
                <w:i w:val="false"/>
                <w:caps w:val="false"/>
                <w:smallCaps w:val="false"/>
                <w:spacing w:val="4"/>
                <w:sz w:val="16"/>
              </w:rPr>
              <w:t>million and $1.1</w:t>
            </w:r>
            <w:r>
              <w:rPr>
                <w:caps w:val="false"/>
                <w:smallCaps w:val="false"/>
                <w:spacing w:val="4"/>
              </w:rPr>
              <w:t> </w:t>
            </w:r>
            <w:r>
              <w:rPr>
                <w:rFonts w:ascii="Times New Roman;Times;serif" w:hAnsi="Times New Roman;Times;serif"/>
                <w:b w:val="false"/>
                <w:i w:val="false"/>
                <w:caps w:val="false"/>
                <w:smallCaps w:val="false"/>
                <w:spacing w:val="4"/>
                <w:sz w:val="16"/>
              </w:rPr>
              <w:t>million, respectively, and is recorded in “Accrued interest and operating lease income receivable, net” on the Company’s consolidated balance sheets. During the three and six months ended June 30, 2026 and 2025, the Company did not reverse any accrued interest on its loan portfolio.</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bidi w:val="0"/>
        <w:spacing w:before="0" w:after="120"/>
        <w:ind w:left="0" w:right="0" w:firstLine="360"/>
        <w:jc w:val="both"/>
        <w:rPr>
          <w:rFonts w:ascii="Times New Roman;Times;serif" w:hAnsi="Times New Roman;Times;serif"/>
          <w:sz w:val="20"/>
        </w:rPr>
      </w:pPr>
      <w:bookmarkStart w:id="803" w:name="Tc_oBpU6epPZk-TIql_Yqb31g_10_2"/>
      <w:bookmarkStart w:id="804" w:name="Tc_dKEn8Q4vrE2fLJ9z7f235A_10_0"/>
      <w:bookmarkStart w:id="805" w:name="Tc_ZHGCRMlckUi0tUmRVSOUMA_9_0"/>
      <w:bookmarkStart w:id="806" w:name="Tc_G6MmJRh-KkSDj35-nzv1QQ_8_2"/>
      <w:bookmarkStart w:id="807" w:name="Tc_LFm8rqqfL0WxIABJbHoOhQ_8_0"/>
      <w:bookmarkStart w:id="808" w:name="Tc_Jm21iUHciUWZ0yjj_XlOIA_7_0"/>
      <w:bookmarkStart w:id="809" w:name="Tc_Kb3DOxB4gkqqXYAo7bHVYQ_5_2"/>
      <w:bookmarkStart w:id="810" w:name="Tc_j7VrBwJhEk6h8KmS-IoP8A_5_0"/>
      <w:bookmarkStart w:id="811" w:name="Tc_gKhy2qmPokKPB7hO2l3pLw_4_0"/>
      <w:bookmarkStart w:id="812" w:name="Tc_qP1mvYHTi0WtJSEcK2l2bg_3_0"/>
      <w:bookmarkStart w:id="813" w:name="Tc_zmzlVbdLlUCbSaKX4Wt2Qw_2_2"/>
      <w:bookmarkStart w:id="814" w:name="Tc_7oCnM1443EShhzoFARR5QQ_2_0"/>
      <w:bookmarkStart w:id="815" w:name="Tc_HX1Spd41kEijJs-ZQ43bIg_1_0"/>
      <w:bookmarkStart w:id="816" w:name="_93811c83_b669_4c76_9303_f29dc516419e"/>
      <w:bookmarkStart w:id="817" w:name="Tc_UbZEjUSoIEeW7aNpTU4oAA_9_2"/>
      <w:bookmarkStart w:id="818" w:name="Tc_FJ5j0x_pTUauSpL3Epss_g_9_0"/>
      <w:bookmarkStart w:id="819" w:name="Tc_QV1ZqfnxFUSCCsj05X10jA_8_0"/>
      <w:bookmarkStart w:id="820" w:name="Tc_ef0j3IlVG0WCvIvaDmc94g_7_2"/>
      <w:bookmarkStart w:id="821" w:name="Tc_Rc8rUxxT5k-oHoM3frFTPw_7_0"/>
      <w:bookmarkStart w:id="822" w:name="Tc__TT_NAsxzU6FdaMM6YBJfQ_6_0"/>
      <w:bookmarkStart w:id="823" w:name="Tc_ci9K5QdFt0GdsV9ZRANjcQ_4_2"/>
      <w:bookmarkStart w:id="824" w:name="Tc_0pbnrgSxkEmI8swRqRsLxw_4_0"/>
      <w:bookmarkStart w:id="825" w:name="Tc_xQ_YnUHyBUazMiIfJ3tW1g_3_0"/>
      <w:bookmarkStart w:id="826" w:name="Tc_LLQl26t1NUaZfCDCqsT37Q_2_2"/>
      <w:bookmarkStart w:id="827" w:name="Tc_TeEwN1Kis0e-Y8dcBOb3Fw_2_0"/>
      <w:bookmarkStart w:id="828" w:name="Tc_qawXCCXS0Eqrh2TZu28nIg_1_0"/>
      <w:bookmarkStart w:id="829" w:name="_55924d3d_c50b_4106_a77c_fc0c59dd0eb7"/>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r>
        <w:rPr>
          <w:rFonts w:ascii="Times New Roman;Times;serif" w:hAnsi="Times New Roman;Times;serif"/>
          <w:b/>
          <w:sz w:val="20"/>
        </w:rPr>
        <w:t>Allowance for Loan Losses</w:t>
      </w:r>
      <w:r>
        <w:rPr>
          <w:rFonts w:ascii="Times New Roman;Times;serif" w:hAnsi="Times New Roman;Times;serif"/>
          <w:sz w:val="20"/>
        </w:rPr>
        <w:t xml:space="preserve">—Changes in the Company’s general allowance for loan losses were as follows for the three and six months ended June 30, 2026 and 2025 ($ in thousands): </w:t>
      </w:r>
    </w:p>
    <w:tbl>
      <w:tblPr>
        <w:tblW w:w="5152" w:type="dxa"/>
        <w:jc w:val="left"/>
        <w:tblInd w:w="0" w:type="dxa"/>
        <w:tblLayout w:type="fixed"/>
        <w:tblCellMar>
          <w:top w:w="0" w:type="dxa"/>
          <w:left w:w="0" w:type="dxa"/>
          <w:bottom w:w="0" w:type="dxa"/>
          <w:right w:w="0" w:type="dxa"/>
        </w:tblCellMar>
      </w:tblPr>
      <w:tblGrid>
        <w:gridCol w:w="4156"/>
        <w:gridCol w:w="109"/>
        <w:gridCol w:w="211"/>
        <w:gridCol w:w="676"/>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639060" cy="175260"/>
                      <wp:effectExtent l="0" t="0" r="0" b="0"/>
                      <wp:wrapNone/>
                      <wp:docPr id="139" name="Frame139"/>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40" name="Frame1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29260" cy="175260"/>
                      <wp:effectExtent l="0" t="0" r="0" b="0"/>
                      <wp:wrapNone/>
                      <wp:docPr id="142" name="Frame14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Three Months Ended June 30, 2026</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pPr>
            <w:r>
              <w:rPr/>
              <w:t>​</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loan losses at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w:t>
            </w:r>
          </w:p>
        </w:tc>
      </w:tr>
      <w:tr>
        <w:trPr/>
        <w:tc>
          <w:tcPr>
            <w:tcW w:w="415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loan losses</w:t>
            </w:r>
            <w:r>
              <w:rPr>
                <w:rFonts w:ascii="Times New Roman;Times;serif" w:hAnsi="Times New Roman;Times;serif"/>
                <w:sz w:val="15"/>
              </w:rPr>
              <w:t>(1)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loan losses at end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w:t>
            </w:r>
          </w:p>
        </w:tc>
      </w:tr>
      <w:tr>
        <w:trPr/>
        <w:tc>
          <w:tcPr>
            <w:tcW w:w="41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r>
      <w:tr>
        <w:trPr/>
        <w:tc>
          <w:tcPr>
            <w:tcW w:w="41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Three Months Ended June 30, 2025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loan losses at beginning of period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981</w:t>
            </w:r>
          </w:p>
        </w:tc>
      </w:tr>
      <w:tr>
        <w:trPr/>
        <w:tc>
          <w:tcPr>
            <w:tcW w:w="415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loan losses</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loan losses at end of period</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1,006</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During the three months ended June 30, 2026 and 2025, the Company recorded a provision for (recovery of) loan losses of $6</w:t>
            </w:r>
            <w:r>
              <w:rPr>
                <w:caps w:val="false"/>
                <w:smallCaps w:val="false"/>
              </w:rPr>
              <w:t xml:space="preserve"> </w:t>
            </w:r>
            <w:r>
              <w:rPr>
                <w:rFonts w:ascii="Times New Roman;Times;serif" w:hAnsi="Times New Roman;Times;serif"/>
                <w:b w:val="false"/>
                <w:i w:val="false"/>
                <w:caps w:val="false"/>
                <w:smallCaps w:val="false"/>
                <w:sz w:val="16"/>
              </w:rPr>
              <w:t>thousand and $25</w:t>
            </w:r>
            <w:r>
              <w:rPr>
                <w:caps w:val="false"/>
                <w:smallCaps w:val="false"/>
              </w:rPr>
              <w:t xml:space="preserve"> </w:t>
            </w:r>
            <w:r>
              <w:rPr>
                <w:rFonts w:ascii="Times New Roman;Times;serif" w:hAnsi="Times New Roman;Times;serif"/>
                <w:b w:val="false"/>
                <w:i w:val="false"/>
                <w:caps w:val="false"/>
                <w:smallCaps w:val="false"/>
                <w:sz w:val="16"/>
              </w:rPr>
              <w:t xml:space="preserve">thousand, respectively, in its consolidated statements of operations. The provision in 2026 was primarily the result of a </w:t>
            </w:r>
            <w:r>
              <w:rPr>
                <w:rFonts w:ascii="Times New Roman;Times;serif" w:hAnsi="Times New Roman;Times;serif"/>
                <w:b w:val="false"/>
                <w:i w:val="false"/>
                <w:caps w:val="false"/>
                <w:smallCaps w:val="false"/>
                <w:sz w:val="16"/>
                <w:shd w:fill="FFFFFF" w:val="clear"/>
              </w:rPr>
              <w:t>non-cash funding on one</w:t>
            </w:r>
            <w:r>
              <w:rPr>
                <w:caps w:val="false"/>
                <w:smallCaps w:val="false"/>
                <w:shd w:fill="FFFFFF" w:val="clear"/>
              </w:rPr>
              <w:t> </w:t>
            </w:r>
            <w:r>
              <w:rPr>
                <w:rFonts w:ascii="Times New Roman;Times;serif" w:hAnsi="Times New Roman;Times;serif"/>
                <w:b w:val="false"/>
                <w:i w:val="false"/>
                <w:caps w:val="false"/>
                <w:smallCaps w:val="false"/>
                <w:sz w:val="16"/>
                <w:shd w:fill="FFFFFF" w:val="clear"/>
              </w:rPr>
              <w:t>of the Company’s loans</w:t>
            </w:r>
            <w:r>
              <w:rPr>
                <w:rFonts w:ascii="Times New Roman;Times;serif" w:hAnsi="Times New Roman;Times;serif"/>
                <w:b w:val="false"/>
                <w:i w:val="false"/>
                <w:caps w:val="false"/>
                <w:smallCaps w:val="false"/>
                <w:sz w:val="16"/>
              </w:rPr>
              <w:t xml:space="preserve">. </w:t>
            </w:r>
            <w:r>
              <w:rPr>
                <w:rFonts w:ascii="Times New Roman;Times;serif" w:hAnsi="Times New Roman;Times;serif"/>
                <w:b w:val="false"/>
                <w:i w:val="false"/>
                <w:caps w:val="false"/>
                <w:smallCaps w:val="false"/>
                <w:sz w:val="16"/>
                <w:shd w:fill="FFFFFF" w:val="clear"/>
              </w:rPr>
              <w:t>The provision for loan losses in 2025 was primarily the result of an additional funding on one</w:t>
            </w:r>
            <w:r>
              <w:rPr>
                <w:caps w:val="false"/>
                <w:smallCaps w:val="false"/>
                <w:shd w:fill="FFFFFF" w:val="clear"/>
              </w:rPr>
              <w:t> </w:t>
            </w:r>
            <w:r>
              <w:rPr>
                <w:rFonts w:ascii="Times New Roman;Times;serif" w:hAnsi="Times New Roman;Times;serif"/>
                <w:b w:val="false"/>
                <w:i w:val="false"/>
                <w:caps w:val="false"/>
                <w:smallCaps w:val="false"/>
                <w:sz w:val="16"/>
                <w:shd w:fill="FFFFFF" w:val="clear"/>
              </w:rPr>
              <w:t>of the Company’s loans.</w:t>
            </w:r>
          </w:p>
        </w:tc>
      </w:tr>
    </w:tbl>
    <w:tbl>
      <w:tblPr>
        <w:tblW w:w="5152" w:type="dxa"/>
        <w:jc w:val="left"/>
        <w:tblInd w:w="0" w:type="dxa"/>
        <w:tblLayout w:type="fixed"/>
        <w:tblCellMar>
          <w:top w:w="0" w:type="dxa"/>
          <w:left w:w="0" w:type="dxa"/>
          <w:bottom w:w="0" w:type="dxa"/>
          <w:right w:w="0" w:type="dxa"/>
        </w:tblCellMar>
      </w:tblPr>
      <w:tblGrid>
        <w:gridCol w:w="4156"/>
        <w:gridCol w:w="109"/>
        <w:gridCol w:w="211"/>
        <w:gridCol w:w="676"/>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639060" cy="175260"/>
                      <wp:effectExtent l="0" t="0" r="0" b="0"/>
                      <wp:wrapNone/>
                      <wp:docPr id="143" name="Frame143"/>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44" name="Frame1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29260" cy="175260"/>
                      <wp:effectExtent l="0" t="0" r="0" b="0"/>
                      <wp:wrapNone/>
                      <wp:docPr id="146" name="Frame1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Six Months Ended June 30, 2026</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pPr>
            <w:r>
              <w:rPr/>
              <w:t>​</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loan losses at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w:t>
            </w:r>
          </w:p>
        </w:tc>
      </w:tr>
      <w:tr>
        <w:trPr/>
        <w:tc>
          <w:tcPr>
            <w:tcW w:w="415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loan losses</w:t>
            </w:r>
            <w:r>
              <w:rPr>
                <w:rFonts w:ascii="Times New Roman;Times;serif" w:hAnsi="Times New Roman;Times;serif"/>
                <w:sz w:val="15"/>
              </w:rPr>
              <w:t>(1)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Charge-offs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loan losses at end of period</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w:t>
            </w:r>
          </w:p>
        </w:tc>
      </w:tr>
      <w:tr>
        <w:trPr/>
        <w:tc>
          <w:tcPr>
            <w:tcW w:w="415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r>
      <w:tr>
        <w:trPr/>
        <w:tc>
          <w:tcPr>
            <w:tcW w:w="41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Six Months Ended June 30, 2025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loan losses at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1,118</w:t>
            </w:r>
          </w:p>
        </w:tc>
      </w:tr>
      <w:tr>
        <w:trPr/>
        <w:tc>
          <w:tcPr>
            <w:tcW w:w="415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loan losses</w:t>
            </w:r>
            <w:r>
              <w:rPr>
                <w:rFonts w:ascii="Times New Roman;Times;serif" w:hAnsi="Times New Roman;Times;serif"/>
                <w:sz w:val="15"/>
              </w:rPr>
              <w:t>(1)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loan losses at end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1,006</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During the six months ended June 30, 2026 and 2025, the Company recorded a provision for (recovery of) loan losses of $0.4</w:t>
            </w:r>
            <w:r>
              <w:rPr>
                <w:caps w:val="false"/>
                <w:smallCaps w:val="false"/>
              </w:rPr>
              <w:t xml:space="preserve"> </w:t>
            </w:r>
            <w:r>
              <w:rPr>
                <w:rFonts w:ascii="Times New Roman;Times;serif" w:hAnsi="Times New Roman;Times;serif"/>
                <w:b w:val="false"/>
                <w:i w:val="false"/>
                <w:caps w:val="false"/>
                <w:smallCaps w:val="false"/>
                <w:sz w:val="16"/>
              </w:rPr>
              <w:t>million and ($0.1)</w:t>
            </w:r>
            <w:r>
              <w:rPr>
                <w:caps w:val="false"/>
                <w:smallCaps w:val="false"/>
              </w:rPr>
              <w:t xml:space="preserve"> </w:t>
            </w:r>
            <w:r>
              <w:rPr>
                <w:rFonts w:ascii="Times New Roman;Times;serif" w:hAnsi="Times New Roman;Times;serif"/>
                <w:b w:val="false"/>
                <w:i w:val="false"/>
                <w:caps w:val="false"/>
                <w:smallCaps w:val="false"/>
                <w:sz w:val="16"/>
              </w:rPr>
              <w:t>million, respectively, in its consolidated statements of operations. The provision in 2026 was primarily the result of a charge-off on one</w:t>
            </w:r>
            <w:r>
              <w:rPr>
                <w:caps w:val="false"/>
                <w:smallCaps w:val="false"/>
              </w:rPr>
              <w:t xml:space="preserve"> </w:t>
            </w:r>
            <w:r>
              <w:rPr>
                <w:rFonts w:ascii="Times New Roman;Times;serif" w:hAnsi="Times New Roman;Times;serif"/>
                <w:b w:val="false"/>
                <w:i w:val="false"/>
                <w:caps w:val="false"/>
                <w:smallCaps w:val="false"/>
                <w:sz w:val="16"/>
              </w:rPr>
              <w:t>of the Company’s loans that was repaid in the first quarter of 2026. The recovery of loan losses in 2025 was primarily the result of a $3.0</w:t>
            </w:r>
            <w:r>
              <w:rPr>
                <w:caps w:val="false"/>
                <w:smallCaps w:val="false"/>
              </w:rPr>
              <w:t> </w:t>
            </w:r>
            <w:r>
              <w:rPr>
                <w:rFonts w:ascii="Times New Roman;Times;serif" w:hAnsi="Times New Roman;Times;serif"/>
                <w:b w:val="false"/>
                <w:i w:val="false"/>
                <w:caps w:val="false"/>
                <w:smallCaps w:val="false"/>
                <w:sz w:val="16"/>
              </w:rPr>
              <w:t>million repayment on one</w:t>
            </w:r>
            <w:r>
              <w:rPr>
                <w:caps w:val="false"/>
                <w:smallCaps w:val="false"/>
              </w:rPr>
              <w:t> </w:t>
            </w:r>
            <w:r>
              <w:rPr>
                <w:rFonts w:ascii="Times New Roman;Times;serif" w:hAnsi="Times New Roman;Times;serif"/>
                <w:b w:val="false"/>
                <w:i w:val="false"/>
                <w:caps w:val="false"/>
                <w:smallCaps w:val="false"/>
                <w:sz w:val="16"/>
              </w:rPr>
              <w:t>of the Company’s loans.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Credit Characteristics</w:t>
      </w:r>
      <w:r>
        <w:rPr>
          <w:rFonts w:ascii="Times New Roman;Times;serif" w:hAnsi="Times New Roman;Times;serif"/>
          <w:sz w:val="20"/>
        </w:rPr>
        <w:t>—As part of the Company’s process for monitoring the credit quality of its loans, it performs a quarterly loan portfolio assessment and assigns risk ratings to each of its performing loans. Risk ratings, which range from 1 (lower risk) to 5 (higher risk), are based on judgments which are inherently uncertain, and there can be no assurance that actual performance will be similar to current expectation. The Company designates loans as non-performing at such time as: (1) interest payments become 90 days delinquent; (2) the loan has a maturity default; or (3) management determines it is probable that we will be unable to collect all amounts due according to the contractual terms of the loan. All non-performing loans are placed on non-accrual status and income is only recognized in certain cases upon actual cash receipt.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bidi w:val="0"/>
        <w:spacing w:before="0" w:after="240"/>
        <w:ind w:left="0" w:right="0" w:firstLine="360"/>
        <w:jc w:val="both"/>
        <w:rPr>
          <w:rFonts w:ascii="Times New Roman;Times;serif" w:hAnsi="Times New Roman;Times;serif"/>
          <w:sz w:val="20"/>
        </w:rPr>
      </w:pPr>
      <w:bookmarkStart w:id="830" w:name="Tc_-PoOkrMaLU6huHy52UPiwA_8_5"/>
      <w:bookmarkStart w:id="831" w:name="Tc_UWbfJ2eegU61Fbw6RSfySg_8_2"/>
      <w:bookmarkStart w:id="832" w:name="Tc_AX2QW5oVQ0axFAolWhsuQQ_8_0"/>
      <w:bookmarkStart w:id="833" w:name="Tc_udCp09tTTUyCzp3UPr1rew_7_0"/>
      <w:bookmarkStart w:id="834" w:name="Tc_G5LtqStcOUCOaZdyAol-Gg_6_6"/>
      <w:bookmarkStart w:id="835" w:name="Tc_E50RMNNg10GhfZC5OdGnPQ_6_3"/>
      <w:bookmarkStart w:id="836" w:name="Tc_wcXg9KldU0CjcbPN4N3YTg_6_0"/>
      <w:bookmarkStart w:id="837" w:name="Tc_2JnSp5JilEOcs1fke6QwEQ_5_6"/>
      <w:bookmarkStart w:id="838" w:name="Tc_D9RMrz6LKEeKIGyeZHLTYw_5_3"/>
      <w:bookmarkStart w:id="839" w:name="Tc_nhgCvGtA3UuXz2G7aMHOQg_5_0"/>
      <w:bookmarkStart w:id="840" w:name="Tc_mDaEpaV_VUCmh5mKKbDCeA_4_6"/>
      <w:bookmarkStart w:id="841" w:name="Tc_ORayxx-UgE6Kgc8oCFC9Vw_4_5"/>
      <w:bookmarkStart w:id="842" w:name="Tc_G1dh-0F9TUicZs_sa6M_SQ_4_3"/>
      <w:bookmarkStart w:id="843" w:name="Tc_ycg3Akbb5kaM3jqRdTXUug_4_2"/>
      <w:bookmarkStart w:id="844" w:name="Tc_Fa_fWkgekkC1VeVdw72GQw_4_0"/>
      <w:bookmarkStart w:id="845" w:name="Tc_5lm3ZTGpM0uggUKy6_rSjw_3_0"/>
      <w:bookmarkStart w:id="846" w:name="Tc_-ZY-5hQ9vUiCSEzLyWJNPQ_2_5"/>
      <w:bookmarkStart w:id="847" w:name="Tc_qO1deWoEWUC72MNxbi_cPQ_2_2"/>
      <w:bookmarkStart w:id="848" w:name="Tc_o-xjYQAEWkaHcv0uJqunoQ_1_5"/>
      <w:bookmarkStart w:id="849" w:name="Tc_Tx8zQBOk4EuMrGzAVz6opg_1_2"/>
      <w:bookmarkStart w:id="850" w:name="_1acd7bcc_4a61_469e_b1f3_0c632ef1e63e"/>
      <w:bookmarkStart w:id="851" w:name="Tc__bdN6M4CnEKD_NXGZ-9TJw_11_14"/>
      <w:bookmarkStart w:id="852" w:name="Tc_ZJom4DLvUEq2RUUSkfFQCg_11_11"/>
      <w:bookmarkStart w:id="853" w:name="Tc_nzCwo0kHskuXkthnGO4xnA_11_8"/>
      <w:bookmarkStart w:id="854" w:name="Tc_7u_aUNfhBkieBRTp_0cspw_11_5"/>
      <w:bookmarkStart w:id="855" w:name="Tc_r9jS1d8WMEitSIj_ZpxFvg_11_2"/>
      <w:bookmarkStart w:id="856" w:name="Tc_bRLce8ZHK0aQzR8nSNUl_g_11_0"/>
      <w:bookmarkStart w:id="857" w:name="Tc_bE6JU8H_xEmTAs6nY5x0aQ_10_14"/>
      <w:bookmarkStart w:id="858" w:name="Tc_hgZ01PVOeUS-Wj6n7T75JA_10_11"/>
      <w:bookmarkStart w:id="859" w:name="Tc_1oH8DmaVVUy4W8HI_4Ij3g_10_8"/>
      <w:bookmarkStart w:id="860" w:name="Tc_nuhFPOV4n0CQwclwlK7YPg_10_5"/>
      <w:bookmarkStart w:id="861" w:name="Tc_XvxdeeIXDk6slSyzjSXZ5g_10_2"/>
      <w:bookmarkStart w:id="862" w:name="Tc_0X6HX-BzsEGtPihV44Rkjg_9_0"/>
      <w:bookmarkStart w:id="863" w:name="Tc_27MO0woUukiZGiKb0FdL6A_8_0"/>
      <w:bookmarkStart w:id="864" w:name="Tc_KaLEO-LmPk6IIRH-GKluZw_7_14"/>
      <w:bookmarkStart w:id="865" w:name="Tc__vC_E63eXUKV74cmJD-stA_7_11"/>
      <w:bookmarkStart w:id="866" w:name="Tc_qOQn2PwcV0i7ABZa6fMQ_A_7_8"/>
      <w:bookmarkStart w:id="867" w:name="Tc_uboPb_v30U65NjQTnVxWRA_7_5"/>
      <w:bookmarkStart w:id="868" w:name="Tc_dksorgiOhkO1V9Lc6ebDcA_7_2"/>
      <w:bookmarkStart w:id="869" w:name="Tc_yK4DB_aJAUWtW-gUnhNrNQ_7_0"/>
      <w:bookmarkStart w:id="870" w:name="Tc_6tbTsGA5YkiYRK0iN2Hgfg_6_14"/>
      <w:bookmarkStart w:id="871" w:name="Tc_Jnv9BYmm0kmUIaXH_JjZuA_6_11"/>
      <w:bookmarkStart w:id="872" w:name="Tc_GNBlA5L6Lky5rKFGF2ZGfQ_6_8"/>
      <w:bookmarkStart w:id="873" w:name="Tc_uy0tBgVr2ECQEuYfHFlB3Q_6_5"/>
      <w:bookmarkStart w:id="874" w:name="Tc_0l1TXQO7xEeJShT1cDoEUg_6_2"/>
      <w:bookmarkStart w:id="875" w:name="Tc_j2ctfaBkpEual6KF_5bINA_5_0"/>
      <w:bookmarkStart w:id="876" w:name="Tc_MPVEHDSBkkmpcDaiVuT16Q_4_0"/>
      <w:bookmarkStart w:id="877" w:name="Tc_a17F4Hrk70Wn90XkMRs1dg_3_14"/>
      <w:bookmarkStart w:id="878" w:name="Tc_5im3jZS1CUuQV19wTGoLog_3_11"/>
      <w:bookmarkStart w:id="879" w:name="Tc_fj7VqXO890aguRRplGKOOQ_3_8"/>
      <w:bookmarkStart w:id="880" w:name="Tc_wsoDlVGNjUSDu_qDH1BtmA_3_5"/>
      <w:bookmarkStart w:id="881" w:name="Tc_GYn54DHQQ0GFqeDSXiZfZA_3_2"/>
      <w:bookmarkStart w:id="882" w:name="Tc_7yaWPa5f6kWf4hT-AM_1lA_2_14"/>
      <w:bookmarkStart w:id="883" w:name="Tc_bLQcPVmPqkiCALXbgLkdNg_2_11"/>
      <w:bookmarkStart w:id="884" w:name="Tc_cjsLA51VlkCorHl85J-H7g_2_8"/>
      <w:bookmarkStart w:id="885" w:name="Tc_1ToQAKCr7UG2V0c9qvILmg_2_5"/>
      <w:bookmarkStart w:id="886" w:name="Tc_SGwdK4S8W062GWsG2myOqg_1_14"/>
      <w:bookmarkStart w:id="887" w:name="Tc_P4oPk7Wh9Uige6VIlug7Sw_1_8"/>
      <w:bookmarkStart w:id="888" w:name="_c66db12f_f4b5_4f31_bc68_b7bd18ae125c"/>
      <w:bookmarkStart w:id="889" w:name="_3cc0d0e9_6353_46a4_a5a0_9ab137d31e89_3"/>
      <w:bookmarkStart w:id="890" w:name="_3cc0d0e9_6353_46a4_a5a0_9ab137d31e89_2"/>
      <w:bookmarkStart w:id="891" w:name="_3cc0d0e9_6353_46a4_a5a0_9ab137d31e8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r>
        <w:rPr>
          <w:rFonts w:ascii="Times New Roman;Times;serif" w:hAnsi="Times New Roman;Times;serif"/>
          <w:sz w:val="20"/>
        </w:rPr>
        <w:t>As of June 30, 2026 and December 31, 2025, all of the Company’s loans were current in their payment status and had a risk rating of 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pacing w:val="-4"/>
          <w:sz w:val="20"/>
        </w:rPr>
        <w:t>Other lending investments—</w:t>
      </w:r>
      <w:r>
        <w:rPr>
          <w:rFonts w:ascii="Times New Roman;Times;serif" w:hAnsi="Times New Roman;Times;serif"/>
          <w:spacing w:val="4"/>
          <w:sz w:val="20"/>
        </w:rPr>
        <w:t>Other lending investments includes the following securities ($ in thousands):</w:t>
      </w:r>
    </w:p>
    <w:tbl>
      <w:tblPr>
        <w:tblW w:w="8832" w:type="dxa"/>
        <w:jc w:val="left"/>
        <w:tblInd w:w="0" w:type="dxa"/>
        <w:tblLayout w:type="fixed"/>
        <w:tblCellMar>
          <w:top w:w="0" w:type="dxa"/>
          <w:left w:w="0" w:type="dxa"/>
          <w:bottom w:w="0" w:type="dxa"/>
          <w:right w:w="0" w:type="dxa"/>
        </w:tblCellMar>
      </w:tblPr>
      <w:tblGrid>
        <w:gridCol w:w="2446"/>
        <w:gridCol w:w="346"/>
        <w:gridCol w:w="217"/>
        <w:gridCol w:w="699"/>
        <w:gridCol w:w="346"/>
        <w:gridCol w:w="217"/>
        <w:gridCol w:w="699"/>
        <w:gridCol w:w="346"/>
        <w:gridCol w:w="287"/>
        <w:gridCol w:w="658"/>
        <w:gridCol w:w="346"/>
        <w:gridCol w:w="211"/>
        <w:gridCol w:w="676"/>
        <w:gridCol w:w="346"/>
        <w:gridCol w:w="211"/>
        <w:gridCol w:w="781"/>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553210" cy="175260"/>
                      <wp:effectExtent l="0" t="0" r="0" b="0"/>
                      <wp:wrapNone/>
                      <wp:docPr id="147" name="Frame147"/>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7795" cy="175260"/>
                      <wp:effectExtent l="0" t="0" r="0" b="0"/>
                      <wp:wrapNone/>
                      <wp:docPr id="149" name="Frame149"/>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43865" cy="175260"/>
                      <wp:effectExtent l="0" t="0" r="0" b="0"/>
                      <wp:wrapNone/>
                      <wp:docPr id="150" name="Frame150"/>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7795" cy="175260"/>
                      <wp:effectExtent l="0" t="0" r="0" b="0"/>
                      <wp:wrapNone/>
                      <wp:docPr id="152" name="Frame152"/>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43865" cy="175260"/>
                      <wp:effectExtent l="0" t="0" r="0" b="0"/>
                      <wp:wrapNone/>
                      <wp:docPr id="153" name="Frame153"/>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82245" cy="175260"/>
                      <wp:effectExtent l="0" t="0" r="0" b="0"/>
                      <wp:wrapNone/>
                      <wp:docPr id="155" name="Frame155"/>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17830" cy="175260"/>
                      <wp:effectExtent l="0" t="0" r="0" b="0"/>
                      <wp:wrapNone/>
                      <wp:docPr id="156" name="Frame156"/>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8"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29260" cy="175260"/>
                      <wp:effectExtent l="0" t="0" r="0" b="0"/>
                      <wp:wrapNone/>
                      <wp:docPr id="159" name="Frame15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95935" cy="175260"/>
                      <wp:effectExtent l="0" t="0" r="0" b="0"/>
                      <wp:wrapNone/>
                      <wp:docPr id="162" name="Frame1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7" w:type="dxa"/>
            <w:tcBorders/>
            <w:vAlign w:val="center"/>
          </w:tcPr>
          <w:p>
            <w:pPr>
              <w:pStyle w:val="TableContents"/>
              <w:bidi w:val="0"/>
              <w:spacing w:before="0" w:after="0"/>
              <w:ind w:left="0" w:right="0" w:hanging="0"/>
              <w:jc w:val="center"/>
              <w:rPr/>
            </w:pPr>
            <w:r>
              <w:rPr/>
              <w:t>​</w:t>
            </w:r>
          </w:p>
        </w:tc>
        <w:tc>
          <w:tcPr>
            <w:tcW w:w="6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7" w:type="dxa"/>
            <w:tcBorders/>
            <w:vAlign w:val="center"/>
          </w:tcPr>
          <w:p>
            <w:pPr>
              <w:pStyle w:val="TableContents"/>
              <w:bidi w:val="0"/>
              <w:spacing w:before="0" w:after="0"/>
              <w:ind w:left="0" w:right="0" w:hanging="0"/>
              <w:jc w:val="center"/>
              <w:rPr/>
            </w:pPr>
            <w:r>
              <w:rPr/>
              <w:t>​</w:t>
            </w:r>
          </w:p>
        </w:tc>
        <w:tc>
          <w:tcPr>
            <w:tcW w:w="6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7" w:type="dxa"/>
            <w:tcBorders/>
            <w:vAlign w:val="center"/>
          </w:tcPr>
          <w:p>
            <w:pPr>
              <w:pStyle w:val="TableContents"/>
              <w:bidi w:val="0"/>
              <w:spacing w:before="0" w:after="0"/>
              <w:ind w:left="0" w:right="0" w:hanging="0"/>
              <w:jc w:val="center"/>
              <w:rPr/>
            </w:pPr>
            <w:r>
              <w:rPr/>
              <w:t>​</w:t>
            </w:r>
          </w:p>
        </w:tc>
        <w:tc>
          <w:tcPr>
            <w:tcW w:w="6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w:t>
            </w:r>
          </w:p>
        </w:tc>
        <w:tc>
          <w:tcPr>
            <w:tcW w:w="346" w:type="dxa"/>
            <w:tcBorders/>
            <w:vAlign w:val="center"/>
          </w:tcPr>
          <w:p>
            <w:pPr>
              <w:pStyle w:val="TableContents"/>
              <w:bidi w:val="0"/>
              <w:spacing w:before="0" w:after="0"/>
              <w:ind w:left="0" w:right="0" w:hanging="0"/>
              <w:jc w:val="center"/>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Face Value</w:t>
            </w:r>
          </w:p>
        </w:tc>
        <w:tc>
          <w:tcPr>
            <w:tcW w:w="346" w:type="dxa"/>
            <w:tcBorders/>
            <w:vAlign w:val="center"/>
          </w:tcPr>
          <w:p>
            <w:pPr>
              <w:pStyle w:val="TableContents"/>
              <w:bidi w:val="0"/>
              <w:spacing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 Basis</w:t>
            </w:r>
          </w:p>
        </w:tc>
        <w:tc>
          <w:tcPr>
            <w:tcW w:w="346" w:type="dxa"/>
            <w:tcBorders/>
            <w:vAlign w:val="center"/>
          </w:tcPr>
          <w:p>
            <w:pPr>
              <w:pStyle w:val="TableContents"/>
              <w:bidi w:val="0"/>
              <w:spacing w:before="0" w:after="0"/>
              <w:ind w:left="0" w:right="0" w:hanging="0"/>
              <w:jc w:val="center"/>
              <w:rPr/>
            </w:pPr>
            <w:r>
              <w:rPr/>
              <w:t>​</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217"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7"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87"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securities</w:t>
            </w:r>
          </w:p>
        </w:tc>
        <w:tc>
          <w:tcPr>
            <w:tcW w:w="3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24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Municipal debt securities</w:t>
            </w:r>
            <w:r>
              <w:rPr>
                <w:rFonts w:ascii="Times New Roman;Times;serif" w:hAnsi="Times New Roman;Times;serif"/>
                <w:b w:val="false"/>
                <w:i w:val="false"/>
                <w:caps w:val="false"/>
                <w:smallCaps w:val="false"/>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45,745</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45,745</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46,080</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45,745</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45,745</w:t>
            </w:r>
          </w:p>
        </w:tc>
        <w:tc>
          <w:tcPr>
            <w:tcW w:w="346" w:type="dxa"/>
            <w:tcBorders/>
            <w:vAlign w:val="center"/>
          </w:tcPr>
          <w:p>
            <w:pPr>
              <w:pStyle w:val="TableContents"/>
              <w:bidi w:val="0"/>
              <w:spacing w:before="0" w:after="0"/>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46,080</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69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69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65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Securities</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24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Municipal debt securities</w:t>
            </w:r>
            <w:r>
              <w:rPr>
                <w:rFonts w:ascii="Times New Roman;Times;serif" w:hAnsi="Times New Roman;Times;serif"/>
                <w:b w:val="false"/>
                <w:i w:val="false"/>
                <w:caps w:val="false"/>
                <w:smallCaps w:val="false"/>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25,710</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25,710</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25,286</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25,710</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25,710</w:t>
            </w:r>
          </w:p>
        </w:tc>
        <w:tc>
          <w:tcPr>
            <w:tcW w:w="346" w:type="dxa"/>
            <w:tcBorders/>
            <w:vAlign w:val="center"/>
          </w:tcPr>
          <w:p>
            <w:pPr>
              <w:pStyle w:val="TableContents"/>
              <w:bidi w:val="0"/>
              <w:spacing w:before="0" w:after="0"/>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25,286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25,286</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12529"/>
                <w:sz w:val="16"/>
              </w:rPr>
              <w:t>As of June 30, 2026, the Company had four</w:t>
            </w:r>
            <w:r>
              <w:rPr>
                <w:caps w:val="false"/>
                <w:smallCaps w:val="false"/>
                <w:color w:val="212529"/>
              </w:rPr>
              <w:t xml:space="preserve"> </w:t>
            </w:r>
            <w:r>
              <w:rPr>
                <w:rFonts w:ascii="Times New Roman;Times;serif" w:hAnsi="Times New Roman;Times;serif"/>
                <w:b w:val="false"/>
                <w:i w:val="false"/>
                <w:caps w:val="false"/>
                <w:smallCaps w:val="false"/>
                <w:color w:val="212529"/>
                <w:sz w:val="16"/>
              </w:rPr>
              <w:t>available-for-sale securities with an aggregate $0.9</w:t>
            </w:r>
            <w:r>
              <w:rPr>
                <w:caps w:val="false"/>
                <w:smallCaps w:val="false"/>
                <w:color w:val="212529"/>
              </w:rPr>
              <w:t xml:space="preserve"> </w:t>
            </w:r>
            <w:r>
              <w:rPr>
                <w:rFonts w:ascii="Times New Roman;Times;serif" w:hAnsi="Times New Roman;Times;serif"/>
                <w:b w:val="false"/>
                <w:i w:val="false"/>
                <w:caps w:val="false"/>
                <w:smallCaps w:val="false"/>
                <w:color w:val="212529"/>
                <w:sz w:val="16"/>
              </w:rPr>
              <w:t>million unrealized gain and seven</w:t>
            </w:r>
            <w:r>
              <w:rPr>
                <w:caps w:val="false"/>
                <w:smallCaps w:val="false"/>
                <w:color w:val="212529"/>
              </w:rPr>
              <w:t xml:space="preserve"> </w:t>
            </w:r>
            <w:r>
              <w:rPr>
                <w:rFonts w:ascii="Times New Roman;Times;serif" w:hAnsi="Times New Roman;Times;serif"/>
                <w:b w:val="false"/>
                <w:i w:val="false"/>
                <w:caps w:val="false"/>
                <w:smallCaps w:val="false"/>
                <w:color w:val="212529"/>
                <w:sz w:val="16"/>
              </w:rPr>
              <w:t>available-for-sale securities with an aggregate fair value of $14.9</w:t>
            </w:r>
            <w:r>
              <w:rPr>
                <w:caps w:val="false"/>
                <w:smallCaps w:val="false"/>
                <w:color w:val="212529"/>
              </w:rPr>
              <w:t xml:space="preserve"> </w:t>
            </w:r>
            <w:r>
              <w:rPr>
                <w:rFonts w:ascii="Times New Roman;Times;serif" w:hAnsi="Times New Roman;Times;serif"/>
                <w:b w:val="false"/>
                <w:i w:val="false"/>
                <w:caps w:val="false"/>
                <w:smallCaps w:val="false"/>
                <w:color w:val="212529"/>
                <w:sz w:val="16"/>
              </w:rPr>
              <w:t>million and an aggregate unrealized loss of $0.5</w:t>
            </w:r>
            <w:r>
              <w:rPr>
                <w:caps w:val="false"/>
                <w:smallCaps w:val="false"/>
                <w:color w:val="212529"/>
              </w:rPr>
              <w:t xml:space="preserve"> </w:t>
            </w:r>
            <w:r>
              <w:rPr>
                <w:rFonts w:ascii="Times New Roman;Times;serif" w:hAnsi="Times New Roman;Times;serif"/>
                <w:b w:val="false"/>
                <w:i w:val="false"/>
                <w:caps w:val="false"/>
                <w:smallCaps w:val="false"/>
                <w:color w:val="212529"/>
                <w:sz w:val="16"/>
              </w:rPr>
              <w:t>million, all of which were in an unrealized loss position for more than 12 months. As of December 31, 2025, the Company had one</w:t>
            </w:r>
            <w:r>
              <w:rPr>
                <w:caps w:val="false"/>
                <w:smallCaps w:val="false"/>
                <w:color w:val="212529"/>
              </w:rPr>
              <w:t xml:space="preserve"> </w:t>
            </w:r>
            <w:r>
              <w:rPr>
                <w:rFonts w:ascii="Times New Roman;Times;serif" w:hAnsi="Times New Roman;Times;serif"/>
                <w:b w:val="false"/>
                <w:i w:val="false"/>
                <w:caps w:val="false"/>
                <w:smallCaps w:val="false"/>
                <w:color w:val="212529"/>
                <w:sz w:val="16"/>
              </w:rPr>
              <w:t>available-for-sale security with an unrealized gain of $0.3</w:t>
            </w:r>
            <w:r>
              <w:rPr>
                <w:caps w:val="false"/>
                <w:smallCaps w:val="false"/>
                <w:color w:val="212529"/>
              </w:rPr>
              <w:t xml:space="preserve"> </w:t>
            </w:r>
            <w:r>
              <w:rPr>
                <w:rFonts w:ascii="Times New Roman;Times;serif" w:hAnsi="Times New Roman;Times;serif"/>
                <w:b w:val="false"/>
                <w:i w:val="false"/>
                <w:caps w:val="false"/>
                <w:smallCaps w:val="false"/>
                <w:color w:val="212529"/>
                <w:sz w:val="16"/>
              </w:rPr>
              <w:t>million and nine</w:t>
            </w:r>
            <w:r>
              <w:rPr>
                <w:caps w:val="false"/>
                <w:smallCaps w:val="false"/>
                <w:color w:val="212529"/>
              </w:rPr>
              <w:t xml:space="preserve"> </w:t>
            </w:r>
            <w:r>
              <w:rPr>
                <w:rFonts w:ascii="Times New Roman;Times;serif" w:hAnsi="Times New Roman;Times;serif"/>
                <w:b w:val="false"/>
                <w:i w:val="false"/>
                <w:caps w:val="false"/>
                <w:smallCaps w:val="false"/>
                <w:color w:val="212529"/>
                <w:sz w:val="16"/>
              </w:rPr>
              <w:t>available-for-sale securities with an aggregate fair value of $18.9</w:t>
            </w:r>
            <w:r>
              <w:rPr>
                <w:caps w:val="false"/>
                <w:smallCaps w:val="false"/>
                <w:color w:val="212529"/>
              </w:rPr>
              <w:t xml:space="preserve"> </w:t>
            </w:r>
            <w:r>
              <w:rPr>
                <w:rFonts w:ascii="Times New Roman;Times;serif" w:hAnsi="Times New Roman;Times;serif"/>
                <w:b w:val="false"/>
                <w:i w:val="false"/>
                <w:caps w:val="false"/>
                <w:smallCaps w:val="false"/>
                <w:color w:val="212529"/>
                <w:sz w:val="16"/>
              </w:rPr>
              <w:t>million and an aggregate unrealized loss of $0.7</w:t>
            </w:r>
            <w:r>
              <w:rPr>
                <w:caps w:val="false"/>
                <w:smallCaps w:val="false"/>
                <w:color w:val="212529"/>
              </w:rPr>
              <w:t xml:space="preserve"> </w:t>
            </w:r>
            <w:r>
              <w:rPr>
                <w:rFonts w:ascii="Times New Roman;Times;serif" w:hAnsi="Times New Roman;Times;serif"/>
                <w:b w:val="false"/>
                <w:i w:val="false"/>
                <w:caps w:val="false"/>
                <w:smallCaps w:val="false"/>
                <w:color w:val="212529"/>
                <w:sz w:val="16"/>
              </w:rPr>
              <w:t>million, of which five</w:t>
            </w:r>
            <w:r>
              <w:rPr>
                <w:caps w:val="false"/>
                <w:smallCaps w:val="false"/>
                <w:color w:val="212529"/>
              </w:rPr>
              <w:t xml:space="preserve"> </w:t>
            </w:r>
            <w:r>
              <w:rPr>
                <w:rFonts w:ascii="Times New Roman;Times;serif" w:hAnsi="Times New Roman;Times;serif"/>
                <w:b w:val="false"/>
                <w:i w:val="false"/>
                <w:caps w:val="false"/>
                <w:smallCaps w:val="false"/>
                <w:color w:val="212529"/>
                <w:sz w:val="16"/>
              </w:rPr>
              <w:t>of these securities with an aggregate fair value of $10.6</w:t>
            </w:r>
            <w:r>
              <w:rPr>
                <w:caps w:val="false"/>
                <w:smallCaps w:val="false"/>
                <w:color w:val="212529"/>
              </w:rPr>
              <w:t xml:space="preserve"> </w:t>
            </w:r>
            <w:r>
              <w:rPr>
                <w:rFonts w:ascii="Times New Roman;Times;serif" w:hAnsi="Times New Roman;Times;serif"/>
                <w:b w:val="false"/>
                <w:i w:val="false"/>
                <w:caps w:val="false"/>
                <w:smallCaps w:val="false"/>
                <w:color w:val="212529"/>
                <w:sz w:val="16"/>
              </w:rPr>
              <w:t>million and an aggregate unrealized loss of $0.6</w:t>
            </w:r>
            <w:r>
              <w:rPr>
                <w:caps w:val="false"/>
                <w:smallCaps w:val="false"/>
                <w:color w:val="212529"/>
              </w:rPr>
              <w:t xml:space="preserve"> </w:t>
            </w:r>
            <w:r>
              <w:rPr>
                <w:rFonts w:ascii="Times New Roman;Times;serif" w:hAnsi="Times New Roman;Times;serif"/>
                <w:b w:val="false"/>
                <w:i w:val="false"/>
                <w:caps w:val="false"/>
                <w:smallCaps w:val="false"/>
                <w:color w:val="212529"/>
                <w:sz w:val="16"/>
              </w:rPr>
              <w:t>million were in an unrealized loss position for more than 12 months. The Company has determined that the unrealized losses were not the result of a credit impairment and expects to collect all amounts due from estimated future cash flows.</w:t>
            </w:r>
          </w:p>
        </w:tc>
      </w:tr>
    </w:tbl>
    <w:p>
      <w:pPr>
        <w:pStyle w:val="TextBody"/>
        <w:bidi w:val="0"/>
        <w:spacing w:before="0" w:after="0"/>
        <w:ind w:left="360" w:right="0" w:hanging="0"/>
        <w:jc w:val="both"/>
        <w:rPr>
          <w:spacing w:val="4"/>
        </w:rPr>
      </w:pPr>
      <w:r>
        <w:rPr>
          <w:spacing w:val="4"/>
        </w:rPr>
        <w: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 xml:space="preserve">As of June 30, 2026, the contractual maturities of the Company’s securities were as follows ($ in thousands): </w:t>
      </w:r>
    </w:p>
    <w:tbl>
      <w:tblPr>
        <w:tblW w:w="4966" w:type="dxa"/>
        <w:jc w:val="left"/>
        <w:tblInd w:w="0" w:type="dxa"/>
        <w:tblLayout w:type="fixed"/>
        <w:tblCellMar>
          <w:top w:w="0" w:type="dxa"/>
          <w:left w:w="0" w:type="dxa"/>
          <w:bottom w:w="0" w:type="dxa"/>
          <w:right w:w="0" w:type="dxa"/>
        </w:tblCellMar>
      </w:tblPr>
      <w:tblGrid>
        <w:gridCol w:w="2566"/>
        <w:gridCol w:w="146"/>
        <w:gridCol w:w="217"/>
        <w:gridCol w:w="699"/>
        <w:gridCol w:w="346"/>
        <w:gridCol w:w="211"/>
        <w:gridCol w:w="781"/>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629410" cy="175260"/>
                      <wp:effectExtent l="0" t="0" r="0" b="0"/>
                      <wp:wrapNone/>
                      <wp:docPr id="163" name="Frame163"/>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92710" cy="175260"/>
                      <wp:effectExtent l="0" t="0" r="0" b="0"/>
                      <wp:wrapNone/>
                      <wp:docPr id="164" name="Frame16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7795" cy="175260"/>
                      <wp:effectExtent l="0" t="0" r="0" b="0"/>
                      <wp:wrapNone/>
                      <wp:docPr id="165" name="Frame165"/>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43865" cy="175260"/>
                      <wp:effectExtent l="0" t="0" r="0" b="0"/>
                      <wp:wrapNone/>
                      <wp:docPr id="166" name="Frame166"/>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95935" cy="175260"/>
                      <wp:effectExtent l="0" t="0" r="0" b="0"/>
                      <wp:wrapNone/>
                      <wp:docPr id="169" name="Frame16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w:t>
            </w:r>
          </w:p>
        </w:tc>
      </w:tr>
      <w:tr>
        <w:trPr/>
        <w:tc>
          <w:tcPr>
            <w:tcW w:w="256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 Basis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Maturities</w:t>
            </w:r>
          </w:p>
        </w:tc>
        <w:tc>
          <w:tcPr>
            <w:tcW w:w="146" w:type="dxa"/>
            <w:tcBorders/>
            <w:shd w:fill="CCEEFF" w:val="clear"/>
            <w:vAlign w:val="center"/>
          </w:tcPr>
          <w:p>
            <w:pPr>
              <w:pStyle w:val="TableContents"/>
              <w:bidi w:val="0"/>
              <w:spacing w:before="0" w:after="0"/>
              <w:ind w:left="0" w:right="0" w:hanging="0"/>
              <w:jc w:val="left"/>
              <w:rPr/>
            </w:pPr>
            <w:r>
              <w:rPr/>
              <w:t> </w:t>
            </w:r>
          </w:p>
        </w:tc>
        <w:tc>
          <w:tcPr>
            <w:tcW w:w="217"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Within one year</w:t>
            </w:r>
          </w:p>
        </w:tc>
        <w:tc>
          <w:tcPr>
            <w:tcW w:w="1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After one year through 5 years</w:t>
            </w:r>
          </w:p>
        </w:tc>
        <w:tc>
          <w:tcPr>
            <w:tcW w:w="1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6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After 5 years through 10 years</w:t>
            </w:r>
          </w:p>
        </w:tc>
        <w:tc>
          <w:tcPr>
            <w:tcW w:w="1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After 10 years</w:t>
            </w:r>
          </w:p>
        </w:tc>
        <w:tc>
          <w:tcPr>
            <w:tcW w:w="1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46,080</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46,080</w:t>
            </w:r>
          </w:p>
        </w:tc>
      </w:tr>
    </w:tbl>
    <w:p>
      <w:pPr>
        <w:pStyle w:val="TextBody"/>
        <w:bidi w:val="0"/>
        <w:spacing w:before="0" w:after="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7—Other Investments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 xml:space="preserve">The Company’s “other investments” is its investment in Safehold Inc. (“Safe”). Safe is a publicly-traded company that acquires, owns, manages, finances and capitalizes ground leases. Ground leases generally represent ownership of the land underlying commercial real estate projects that is net leased by the fee owner of the land to the owners/operators of the real estate projects built thereon (“Ground Leases”). As of June 30, 2026, the Company owned approximately 13.5 million shares, or 19.0%, of Safe’s outstanding common stock. </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As of June 30, 2026, the Company’s investment in Safe had a market value of $212.3 million based on the closing price of $15.70 on June 30, 2026. The Company does not have significant influence over Safe and accounts for its investment in Safe as an equity investment under ASC 321 – Investments – Equity Securities (“ASC 321”), which requires that the Company adjust its investment in Safe to fair value through income at each reporting period. As such, the Company recognized an “Unrealized gain (loss) on equity investment” in its consolidated statements of operations of $29.3 million and ($42.7) million, respectively, for the three months ended June 30, 2026 and 2025 and $27.2 million and ($39.5) million, respectively, for the six months ended June 30, 2026 and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31, 2023, the Company entered into the following agreements with Safe: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Separation and Distribution Agreement</w:t>
      </w:r>
      <w:r>
        <w:rPr>
          <w:rFonts w:ascii="Times New Roman;Times;serif" w:hAnsi="Times New Roman;Times;serif"/>
          <w:sz w:val="20"/>
        </w:rPr>
        <w:t>—The Separation and Distribution Agreement contains certain provisions governing Star Holdings' relationship with Safe with respect to and following the Spin-Off. The Separation and Distribution Agreement includes provisions allocating assets and liabilities between Star Holdings and Safe and various post-closing covenants relating to, among other things, the treatment of the parties’ insurance policies, information sharing and other operational matters. The Separation and Distribution Agreement includes a mutual release by Star Holdings, on the one hand, and Safe, on the other hand, of the other party from certain specified liabilities, as well as mutual indemnification covenants pursuant to which Star Holdings and Safe have agreed to indemnify each other from certain specified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Management Agreement</w:t>
      </w:r>
      <w:r>
        <w:rPr>
          <w:rFonts w:ascii="Times New Roman;Times;serif" w:hAnsi="Times New Roman;Times;serif"/>
          <w:sz w:val="20"/>
        </w:rPr>
        <w:t>—The Company entered into the Management Agreement with Safehold Management Services Inc. (the “Manager”), a subsidiary of Safe. The Management Agreement requires the Manager to manage the Company’s assets and its and its subsidiaries’ day-to-day operations, subject to the supervision of Board of Trustees of the Company (the “Board”). Pursuant to the Management Agreement, the Manager is required to provide the Company with a management team, including a chief executive officer, a chief financial officer and a chief compliance officer, along with support personnel, to provide the management services to be provided by the Manager to the Company. The Manager does not assume any responsibility other than to render the services called for thereunder and is not responsible for any action of the Board in following or declining to follow its advice or recommendations.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Management Agreement has an annual term that automatically renews on March 31 of each year. The Company pays a fixed cash management fee and reimburses the Manager for third party expenses incurred in connection with its services. The Company paid the Manager management fees of $25.0 million for the annual term ended March 31, 2024, $15.0 million for the annual term ended March 31, 2025 and $10.0 million for the annual term ended March 31, 2026. The annual fee declined to $7.5 million in the current annual term and adjusts to 2.0% of the gross book value of the Company’s assets, excluding the Safe Shares, after the current term. During the three months ended June 30, 2026 and 2025, the Company recorded $1.9 million and $2.5 million, respectively, of management fees to the Manager. During the six months ended June 30, 2026 and 2025, the Company recorded $4.4 million and $6.3 million, respectively, of management fees to the Manager.</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Management Agreement may be terminated by the Company without cause by not less than one hundred eighty days’ written notice to the Manager upon the affirmative vote of at least </w:t>
      </w:r>
      <w:r>
        <w:rPr>
          <w:rFonts w:ascii="Times New Roman;Times;serif" w:hAnsi="Times New Roman;Times;serif"/>
          <w:b w:val="false"/>
          <w:i w:val="false"/>
          <w:caps w:val="false"/>
          <w:smallCaps w:val="false"/>
          <w:sz w:val="20"/>
        </w:rPr>
        <w:t>two</w:t>
      </w:r>
      <w:r>
        <w:rPr>
          <w:rFonts w:ascii="Times New Roman;Times;serif" w:hAnsi="Times New Roman;Times;serif"/>
          <w:sz w:val="20"/>
        </w:rPr>
        <w:t>-thirds of the Company’s independent trustees, provided, however, that if the date of termination occurs prior to March 31, 2027, the termination will be subject to payment of the applicable termination fee to the Manager. The Company may also terminate the Management Agreement at any time with 30 days’ prior written notice from the Company’s board of trustees for “cause,” as defined in the Management Agreement.</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the event of a termination without cause by the Company prior to March 31, 2027, the Company will pay the Manager a termination fee of $55.0 million minus the aggregate amount of management fees actually paid to the Manager prior to the termination date. However, if the Company has completed the liquidation of its assets on or before the termination date, the termination fee will consist of any portion of the annual management fee that remained unpaid for the remainder of the then current annual term.</w:t>
      </w:r>
    </w:p>
    <w:p>
      <w:pPr>
        <w:pStyle w:val="TextBody"/>
        <w:bidi w:val="0"/>
        <w:spacing w:before="0" w:after="0"/>
        <w:ind w:left="0" w:right="0" w:firstLine="720"/>
        <w:jc w:val="both"/>
        <w:rPr/>
      </w:pPr>
      <w:r>
        <w:rPr/>
        <w: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On March 28, 2025, the Company and certain of its subsidiaries entered into amendments to the </w:t>
      </w:r>
      <w:r>
        <w:rPr>
          <w:rFonts w:ascii="Times New Roman;Times;serif" w:hAnsi="Times New Roman;Times;serif"/>
          <w:sz w:val="20"/>
        </w:rPr>
        <w:t>Management Agreement, the Safe Credit Facility (refer to Note 9) and the Margin Loan Facility (refer to Note 9). The foregoing description of certain terms of the Management Agreement reflects the amendment to the Management Agreement which increased the management fee payable in year four of the contract from $5.0 million to $7.5 million and increased the termination fee payable by the Company in certain circumstances from $50.0 million to $55.0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shd w:fill="FFFFFF" w:val="clear"/>
        </w:rPr>
        <w:t>Governance Agreement</w:t>
      </w:r>
      <w:r>
        <w:rPr>
          <w:rFonts w:ascii="Times New Roman;Times;serif" w:hAnsi="Times New Roman;Times;serif"/>
          <w:sz w:val="20"/>
        </w:rPr>
        <w:t>—The Company and Safe entered into a governance agreement (the “Governance Agreement”) in order to establish various arrangements and restrictions with respect to the governance of the Company and certain rights and restrictions with respect to the Safe Shares owned by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and its subsidiaries are prohibited from transferring at any time any Safe Shares held by the Company or its subsidiaries to any person who is known by the Company or its subsidiaries to be an “Activist” or “Company Competitor” (as such terms are defined in the Governance Agreement), or to any group that, to the knowledge of the Company or its subsidiaries, includes as “Activist” or “Company Competitor,” without first obtaining the Safe’s prior written consent.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a “restrictive period” which lasts until the earliest to occur of (i) the effective date on which Safe terminates the Management Agreement; or (ii) the date on which the Company beneficially own less than 7.5% of Safe’s outstanding common stock and Safe is no longer the Company’s external Manager; or (iii) a Change of Control of Safe (as defined in the Governance Agreement), the Company’s or its directly or indirectly wholly owned subsidiaries are required to vote the Safe Shares in accordance with the recommendations of the board of directors of Safe. The Company has irrevocably designated and appointed the board of directors of Safe as its sole and exclusive attorney-in-fact and proxy with full power of substitution and re-substitution to exercise the voting power of the Company’s shares of Safe in accordance with these requirements. The Company will also be subject to certain standstill agreements during the restrictive period. The terms of such standstill agreements will restrict the Company from making certain acquisitions of Safe securities, seeking representation on Safe’s board of directors, participating in the solicitation of proxies or written consents of Safe shareholders, and taking other actions which could seek to influence or result in a change of control of Safe or cause or require Safe to make certain public announcements, except as permitted by the governance agreement or with the prior written consent of the independent directors of the board of directors of Safe.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Registration Rights Agreement</w:t>
      </w:r>
      <w:r>
        <w:rPr>
          <w:rFonts w:ascii="Times New Roman;Times;serif" w:hAnsi="Times New Roman;Times;serif"/>
          <w:sz w:val="20"/>
        </w:rPr>
        <w:t>—Under the Registration Rights Agreement, Safe has agreed to (i) register Star Holdings' shares of Safe common stock and the other registrable securities for resale by filing and maintaining a shelf registration statement; (ii) file a registration statement covering Star Holdings' shares of Safe common stock and other registrable securities pursuant to the demand right and (iii) allow Star Holdings to piggyback on certain other registration statements filed by Safe. Star Holdings may use the registration rights to sell its shares of Safe common stock in underwritten offerings, block trades and other methods of distribution. Star Holdings will be subject to certain suspension and lockup obligations. Star Holdings' registration rights will end, among other times, when it owns less than 2% of Safe's outstanding common stock and is able to sell all of the shares of Safe common stock pursuant to Rule 144(b) without restriction.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shd w:fill="FFFFFF" w:val="clear"/>
        </w:rPr>
        <w:t>Safe Credit Facility</w:t>
      </w:r>
      <w:r>
        <w:rPr>
          <w:rFonts w:ascii="Times New Roman;Times;serif" w:hAnsi="Times New Roman;Times;serif"/>
          <w:sz w:val="20"/>
        </w:rPr>
        <w:t>—Refer to Note 9 for additional information on the Safe Credit Facility</w:t>
      </w:r>
      <w:r>
        <w:rPr>
          <w:rFonts w:ascii="Times New Roman;Times;serif" w:hAnsi="Times New Roman;Times;serif"/>
          <w:i/>
          <w:sz w:val="20"/>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bidi w:val="0"/>
        <w:spacing w:before="0" w:after="240"/>
        <w:ind w:left="0" w:right="0" w:hanging="0"/>
        <w:jc w:val="left"/>
        <w:rPr>
          <w:rFonts w:ascii="Times New Roman;Times;serif" w:hAnsi="Times New Roman;Times;serif"/>
          <w:b/>
          <w:sz w:val="20"/>
        </w:rPr>
      </w:pPr>
      <w:bookmarkStart w:id="892" w:name="Tc_emoMnluwUU6zWS1fYmyx3w_6_5"/>
      <w:bookmarkStart w:id="893" w:name="Tc_NaKfoaMEH0C9UKIj9ElbAg_6_2"/>
      <w:bookmarkStart w:id="894" w:name="Tc_L3cQXNrsy0eVTD5Dy_IS4g_6_0"/>
      <w:bookmarkStart w:id="895" w:name="Tc_Mj8gC4UZdU6Tv9xWAUzl6g_4_0"/>
      <w:bookmarkStart w:id="896" w:name="Tc_NewhFjLS80OP5fKolrHezw_3_5"/>
      <w:bookmarkStart w:id="897" w:name="Tc_1RKQm_ysx0-BaO5t5xPvoQ_3_2"/>
      <w:bookmarkStart w:id="898" w:name="Tc_xYb8fBX92EK7Grxm1cEiuw_3_0"/>
      <w:bookmarkStart w:id="899" w:name="Tc_pVhIqk5ZGUqlsxzOQxfk8g_2_5"/>
      <w:bookmarkStart w:id="900" w:name="Tc_Varzl7uhLkGHpJxauQPmLw_2_2"/>
      <w:bookmarkStart w:id="901" w:name="Tc_ffH30QT6Okm0r2jjbGcknA_1_2"/>
      <w:bookmarkStart w:id="902" w:name="_c1d96e24_3d8e_49cd_85a0_2a3dc774cfa9"/>
      <w:bookmarkStart w:id="903" w:name="Tc_mfFH1HKNa0CA3urSNb1nLA_9_5"/>
      <w:bookmarkStart w:id="904" w:name="Tc_9yvURemTL02QIf6TGZYuHQ_9_2"/>
      <w:bookmarkStart w:id="905" w:name="Tc_0gWowhgYr0ydTvLx-l7Unw_9_0"/>
      <w:bookmarkStart w:id="906" w:name="Tc_0-0_Ts0Tj0iWFXw7BYNeLQ_8_0"/>
      <w:bookmarkStart w:id="907" w:name="Tc_At8yXOZj70G3O7jgtVeDTQ_7_0"/>
      <w:bookmarkStart w:id="908" w:name="Tc_pOmEzj0f4EaJT18ZRbseMg_6_0"/>
      <w:bookmarkStart w:id="909" w:name="Tc_t9L1Va2Mo0eq2oUtr1UysQ_5_0"/>
      <w:bookmarkStart w:id="910" w:name="Tc_ph5nlSIJ8EaSFm8naHAJxw_3_5"/>
      <w:bookmarkStart w:id="911" w:name="Tc_7hrKgK_E2EeUOnyt6CZgrQ_3_2"/>
      <w:bookmarkStart w:id="912" w:name="Tc_GA9618r-R0-lstFDm1xDlg_3_0"/>
      <w:bookmarkStart w:id="913" w:name="Tc_Zvbiv_xRLU2klEl_w0cCKQ_2_5"/>
      <w:bookmarkStart w:id="914" w:name="Tc_lhmOPRyk5kehOfEut7ULIg_2_2"/>
      <w:bookmarkStart w:id="915" w:name="Tc_5RjPfUlvJUqN6o0NFZiYvQ_1_2"/>
      <w:bookmarkStart w:id="916" w:name="_951fd797_bb32_4178_b8b4_a41bb9a8d129"/>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r>
        <w:rPr>
          <w:rFonts w:ascii="Times New Roman;Times;serif" w:hAnsi="Times New Roman;Times;serif"/>
          <w:b/>
          <w:sz w:val="20"/>
        </w:rPr>
        <w:t>Note 8—Other Assets and Other Liabilities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 xml:space="preserve">Deferred expenses and other assets, net, consist of the following items ($ in thousands): </w:t>
      </w:r>
    </w:p>
    <w:tbl>
      <w:tblPr>
        <w:tblW w:w="6729" w:type="dxa"/>
        <w:jc w:val="left"/>
        <w:tblInd w:w="0" w:type="dxa"/>
        <w:tblLayout w:type="fixed"/>
        <w:tblCellMar>
          <w:top w:w="0" w:type="dxa"/>
          <w:left w:w="0" w:type="dxa"/>
          <w:bottom w:w="0" w:type="dxa"/>
          <w:right w:w="0" w:type="dxa"/>
        </w:tblCellMar>
      </w:tblPr>
      <w:tblGrid>
        <w:gridCol w:w="3256"/>
        <w:gridCol w:w="346"/>
        <w:gridCol w:w="267"/>
        <w:gridCol w:w="859"/>
        <w:gridCol w:w="346"/>
        <w:gridCol w:w="357"/>
        <w:gridCol w:w="1144"/>
        <w:gridCol w:w="154"/>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67560" cy="175260"/>
                      <wp:effectExtent l="0" t="0" r="0" b="0"/>
                      <wp:wrapNone/>
                      <wp:docPr id="170" name="Frame170"/>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69545" cy="175260"/>
                      <wp:effectExtent l="0" t="0" r="0" b="0"/>
                      <wp:wrapNone/>
                      <wp:docPr id="172" name="Frame172"/>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45465" cy="175260"/>
                      <wp:effectExtent l="0" t="0" r="0" b="0"/>
                      <wp:wrapNone/>
                      <wp:docPr id="173" name="Frame173"/>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26695" cy="175260"/>
                      <wp:effectExtent l="0" t="0" r="0" b="0"/>
                      <wp:wrapNone/>
                      <wp:docPr id="175" name="Frame175"/>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726440" cy="175260"/>
                      <wp:effectExtent l="0" t="0" r="0" b="0"/>
                      <wp:wrapNone/>
                      <wp:docPr id="176" name="Frame176"/>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97790" cy="175260"/>
                      <wp:effectExtent l="0" t="0" r="0" b="0"/>
                      <wp:wrapNone/>
                      <wp:docPr id="177" name="Frame17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154" w:type="dxa"/>
            <w:tcBorders/>
            <w:vAlign w:val="center"/>
          </w:tcPr>
          <w:p>
            <w:pPr>
              <w:pStyle w:val="TableContents"/>
              <w:bidi w:val="0"/>
              <w:spacing w:before="0" w:after="1"/>
              <w:ind w:left="0" w:right="0" w:hanging="0"/>
              <w:jc w:val="center"/>
              <w:rPr/>
            </w:pPr>
            <w:r>
              <w:rPr/>
              <w:t>​</w:t>
            </w:r>
          </w:p>
        </w:tc>
      </w:tr>
      <w:tr>
        <w:trPr/>
        <w:tc>
          <w:tcPr>
            <w:tcW w:w="3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54" w:type="dxa"/>
            <w:tcBorders/>
            <w:vAlign w:val="center"/>
          </w:tcPr>
          <w:p>
            <w:pPr>
              <w:pStyle w:val="TableContents"/>
              <w:bidi w:val="0"/>
              <w:spacing w:before="0" w:after="1"/>
              <w:ind w:left="0" w:right="0" w:hanging="0"/>
              <w:jc w:val="left"/>
              <w:rPr/>
            </w:pPr>
            <w:r>
              <w:rPr/>
              <w:t>​</w:t>
            </w:r>
          </w:p>
        </w:tc>
      </w:tr>
      <w:tr>
        <w:trPr/>
        <w:tc>
          <w:tcPr>
            <w:tcW w:w="325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assets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8,191</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8,037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25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Operating lease right-of-use assets</w:t>
            </w:r>
            <w:r>
              <w:rPr>
                <w:rFonts w:ascii="Times New Roman;Times;serif" w:hAnsi="Times New Roman;Times;serif"/>
                <w:b w:val="false"/>
                <w:i w:val="false"/>
                <w:caps w:val="false"/>
                <w:smallCaps w:val="false"/>
                <w:sz w:val="15"/>
              </w:rPr>
              <w:t>(2)</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 </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w:t>
            </w:r>
          </w:p>
        </w:tc>
        <w:tc>
          <w:tcPr>
            <w:tcW w:w="154" w:type="dxa"/>
            <w:tcBorders/>
            <w:vAlign w:val="center"/>
          </w:tcPr>
          <w:p>
            <w:pPr>
              <w:pStyle w:val="TableContents"/>
              <w:bidi w:val="0"/>
              <w:spacing w:before="0" w:after="1"/>
              <w:ind w:left="0" w:right="0" w:hanging="0"/>
              <w:jc w:val="left"/>
              <w:rPr/>
            </w:pPr>
            <w:r>
              <w:rPr/>
              <w:t>​</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17,993</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 </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17,094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1,291</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 </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1,042</w:t>
            </w:r>
          </w:p>
        </w:tc>
        <w:tc>
          <w:tcPr>
            <w:tcW w:w="154" w:type="dxa"/>
            <w:tcBorders/>
            <w:vAlign w:val="center"/>
          </w:tcPr>
          <w:p>
            <w:pPr>
              <w:pStyle w:val="TableContents"/>
              <w:bidi w:val="0"/>
              <w:spacing w:before="0" w:after="1"/>
              <w:ind w:left="0" w:right="0" w:hanging="0"/>
              <w:jc w:val="left"/>
              <w:rPr/>
            </w:pPr>
            <w:r>
              <w:rPr/>
              <w:t>​</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Leasing costs, net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 </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25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r>
              <w:rPr>
                <w:rFonts w:ascii="Times New Roman;Times;serif" w:hAnsi="Times New Roman;Times;serif"/>
                <w:sz w:val="15"/>
              </w:rPr>
              <w:t>(3)</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vAlign w:val="center"/>
          </w:tcPr>
          <w:p>
            <w:pPr>
              <w:pStyle w:val="TableContents"/>
              <w:bidi w:val="0"/>
              <w:spacing w:before="0" w:after="1"/>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154" w:type="dxa"/>
            <w:tcBorders/>
            <w:vAlign w:val="center"/>
          </w:tcPr>
          <w:p>
            <w:pPr>
              <w:pStyle w:val="TableContents"/>
              <w:bidi w:val="0"/>
              <w:spacing w:before="0" w:after="1"/>
              <w:ind w:left="0" w:right="0" w:hanging="0"/>
              <w:jc w:val="left"/>
              <w:rPr/>
            </w:pPr>
            <w:r>
              <w:rPr/>
              <w:t>​</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expenses and other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27,787</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26,774</w:t>
            </w:r>
          </w:p>
        </w:tc>
        <w:tc>
          <w:tcPr>
            <w:tcW w:w="154" w:type="dxa"/>
            <w:tcBorders/>
            <w:shd w:fill="CCEEFF" w:val="clear"/>
            <w:vAlign w:val="center"/>
          </w:tcPr>
          <w:p>
            <w:pPr>
              <w:pStyle w:val="TableContents"/>
              <w:bidi w:val="0"/>
              <w:spacing w:before="0" w:after="1"/>
              <w:ind w:left="0" w:right="0" w:hanging="0"/>
              <w:jc w:val="left"/>
              <w:rPr/>
            </w:pPr>
            <w:r>
              <w:rPr/>
              <w:t>​</w:t>
            </w:r>
          </w:p>
        </w:tc>
      </w:tr>
    </w:tbl>
    <w:tbl>
      <w:tblPr>
        <w:tblW w:w="9617" w:type="dxa"/>
        <w:jc w:val="left"/>
        <w:tblInd w:w="0" w:type="dxa"/>
        <w:tblLayout w:type="fixed"/>
        <w:tblCellMar>
          <w:top w:w="0" w:type="dxa"/>
          <w:left w:w="0" w:type="dxa"/>
          <w:bottom w:w="0" w:type="dxa"/>
          <w:right w:w="0" w:type="dxa"/>
        </w:tblCellMar>
      </w:tblPr>
      <w:tblGrid>
        <w:gridCol w:w="331"/>
        <w:gridCol w:w="928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2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As of June 30, 2026 and December 31, 2025, other assets primarily includes prepaid expenses and dividends receivable from Safe.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2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Right-of use lease assets initially equal the lease liability. For operating leases, rent expense is recognized on a straight-line basis over the term of the lease and is recorded in “Real estate expense” in the Company’s consolidated statements of operations. During the three months ended June 30, 2026 and 2025, the Company recognized $0.1</w:t>
            </w:r>
            <w:r>
              <w:rPr>
                <w:caps w:val="false"/>
                <w:smallCaps w:val="false"/>
              </w:rPr>
              <w:t> </w:t>
            </w:r>
            <w:r>
              <w:rPr>
                <w:rFonts w:ascii="Times New Roman;Times;serif" w:hAnsi="Times New Roman;Times;serif"/>
                <w:b w:val="false"/>
                <w:i w:val="false"/>
                <w:caps w:val="false"/>
                <w:smallCaps w:val="false"/>
                <w:sz w:val="16"/>
              </w:rPr>
              <w:t>million and $0.1</w:t>
            </w:r>
            <w:r>
              <w:rPr>
                <w:caps w:val="false"/>
                <w:smallCaps w:val="false"/>
              </w:rPr>
              <w:t> </w:t>
            </w:r>
            <w:r>
              <w:rPr>
                <w:rFonts w:ascii="Times New Roman;Times;serif" w:hAnsi="Times New Roman;Times;serif"/>
                <w:b w:val="false"/>
                <w:i w:val="false"/>
                <w:caps w:val="false"/>
                <w:smallCaps w:val="false"/>
                <w:sz w:val="16"/>
              </w:rPr>
              <w:t>million, respectively, in “Real estate expense” in its consolidated statements of operations relating to operating leases. During the six months ended June 30, 2026 and 2025, the Company recognized $0.2</w:t>
            </w:r>
            <w:r>
              <w:rPr>
                <w:caps w:val="false"/>
                <w:smallCaps w:val="false"/>
              </w:rPr>
              <w:t> </w:t>
            </w:r>
            <w:r>
              <w:rPr>
                <w:rFonts w:ascii="Times New Roman;Times;serif" w:hAnsi="Times New Roman;Times;serif"/>
                <w:b w:val="false"/>
                <w:i w:val="false"/>
                <w:caps w:val="false"/>
                <w:smallCaps w:val="false"/>
                <w:sz w:val="16"/>
              </w:rPr>
              <w:t>million and $0.2</w:t>
            </w:r>
            <w:r>
              <w:rPr>
                <w:caps w:val="false"/>
                <w:smallCaps w:val="false"/>
              </w:rPr>
              <w:t> </w:t>
            </w:r>
            <w:r>
              <w:rPr>
                <w:rFonts w:ascii="Times New Roman;Times;serif" w:hAnsi="Times New Roman;Times;serif"/>
                <w:b w:val="false"/>
                <w:i w:val="false"/>
                <w:caps w:val="false"/>
                <w:smallCaps w:val="false"/>
                <w:sz w:val="16"/>
              </w:rPr>
              <w:t>million, respectively, in “Real estate expense” in its consolidated statements of operations relating to operating leases.</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1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Intangible assets, net includes above market and in-place lease assets related to the acquisition of real estate assets. Accumulated amortization on intangible assets, net was $0.3</w:t>
            </w:r>
            <w:r>
              <w:rPr>
                <w:caps w:val="false"/>
                <w:smallCaps w:val="false"/>
              </w:rPr>
              <w:t> </w:t>
            </w:r>
            <w:r>
              <w:rPr>
                <w:rFonts w:ascii="Times New Roman;Times;serif" w:hAnsi="Times New Roman;Times;serif"/>
                <w:b w:val="false"/>
                <w:i w:val="false"/>
                <w:caps w:val="false"/>
                <w:smallCaps w:val="false"/>
                <w:sz w:val="16"/>
              </w:rPr>
              <w:t>million and $0.2</w:t>
            </w:r>
            <w:r>
              <w:rPr>
                <w:caps w:val="false"/>
                <w:smallCaps w:val="false"/>
              </w:rPr>
              <w:t> </w:t>
            </w:r>
            <w:r>
              <w:rPr>
                <w:rFonts w:ascii="Times New Roman;Times;serif" w:hAnsi="Times New Roman;Times;serif"/>
                <w:b w:val="false"/>
                <w:i w:val="false"/>
                <w:caps w:val="false"/>
                <w:smallCaps w:val="false"/>
                <w:sz w:val="16"/>
              </w:rPr>
              <w:t>million as of June 30, 2026 and December 31, 2025, respectively. These intangible lease assets are amortized over the remaining term of the lease. As of June 30, 2026, the weighted average remaining amortization period for the Company’s intangible assets was approximately 0.8</w:t>
            </w:r>
            <w:r>
              <w:rPr>
                <w:caps w:val="false"/>
                <w:smallCaps w:val="false"/>
              </w:rPr>
              <w:t> </w:t>
            </w:r>
            <w:r>
              <w:rPr>
                <w:rFonts w:ascii="Times New Roman;Times;serif" w:hAnsi="Times New Roman;Times;serif"/>
                <w:b w:val="false"/>
                <w:i w:val="false"/>
                <w:caps w:val="false"/>
                <w:smallCaps w:val="false"/>
                <w:sz w:val="16"/>
              </w:rPr>
              <w:t>years.</w:t>
            </w:r>
          </w:p>
        </w:tc>
      </w:tr>
    </w:tbl>
    <w:p>
      <w:pPr>
        <w:pStyle w:val="TextBody"/>
        <w:bidi w:val="0"/>
        <w:spacing w:before="0" w:after="0"/>
        <w:ind w:left="0" w:right="0" w:firstLine="36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 xml:space="preserve">Accounts payable, accrued expenses and other liabilities consist of the following items ($ in thousands): </w:t>
      </w:r>
    </w:p>
    <w:tbl>
      <w:tblPr>
        <w:tblW w:w="8184" w:type="dxa"/>
        <w:jc w:val="left"/>
        <w:tblInd w:w="0" w:type="dxa"/>
        <w:tblLayout w:type="fixed"/>
        <w:tblCellMar>
          <w:top w:w="0" w:type="dxa"/>
          <w:left w:w="0" w:type="dxa"/>
          <w:bottom w:w="0" w:type="dxa"/>
          <w:right w:w="0" w:type="dxa"/>
        </w:tblCellMar>
      </w:tblPr>
      <w:tblGrid>
        <w:gridCol w:w="4711"/>
        <w:gridCol w:w="346"/>
        <w:gridCol w:w="267"/>
        <w:gridCol w:w="859"/>
        <w:gridCol w:w="346"/>
        <w:gridCol w:w="357"/>
        <w:gridCol w:w="1144"/>
        <w:gridCol w:w="154"/>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991485" cy="175260"/>
                      <wp:effectExtent l="0" t="0" r="0" b="0"/>
                      <wp:wrapNone/>
                      <wp:docPr id="178" name="Frame178"/>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69545" cy="175260"/>
                      <wp:effectExtent l="0" t="0" r="0" b="0"/>
                      <wp:wrapNone/>
                      <wp:docPr id="180" name="Frame180"/>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45465" cy="175260"/>
                      <wp:effectExtent l="0" t="0" r="0" b="0"/>
                      <wp:wrapNone/>
                      <wp:docPr id="181" name="Frame181"/>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26695" cy="175260"/>
                      <wp:effectExtent l="0" t="0" r="0" b="0"/>
                      <wp:wrapNone/>
                      <wp:docPr id="183" name="Frame183"/>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726440" cy="175260"/>
                      <wp:effectExtent l="0" t="0" r="0" b="0"/>
                      <wp:wrapNone/>
                      <wp:docPr id="184" name="Frame184"/>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97790" cy="175260"/>
                      <wp:effectExtent l="0" t="0" r="0" b="0"/>
                      <wp:wrapNone/>
                      <wp:docPr id="185" name="Frame18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154" w:type="dxa"/>
            <w:tcBorders/>
            <w:vAlign w:val="center"/>
          </w:tcPr>
          <w:p>
            <w:pPr>
              <w:pStyle w:val="TableContents"/>
              <w:bidi w:val="0"/>
              <w:spacing w:before="0" w:after="1"/>
              <w:ind w:left="0" w:right="0" w:hanging="0"/>
              <w:jc w:val="center"/>
              <w:rPr/>
            </w:pPr>
            <w:r>
              <w:rPr/>
              <w:t>​</w:t>
            </w:r>
          </w:p>
        </w:tc>
      </w:tr>
      <w:tr>
        <w:trPr/>
        <w:tc>
          <w:tcPr>
            <w:tcW w:w="47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54" w:type="dxa"/>
            <w:tcBorders/>
            <w:vAlign w:val="center"/>
          </w:tcPr>
          <w:p>
            <w:pPr>
              <w:pStyle w:val="TableContents"/>
              <w:bidi w:val="0"/>
              <w:spacing w:before="0" w:after="1"/>
              <w:ind w:left="0" w:right="0" w:hanging="0"/>
              <w:jc w:val="left"/>
              <w:rPr/>
            </w:pPr>
            <w:r>
              <w:rPr/>
              <w:t>​</w:t>
            </w:r>
          </w:p>
        </w:tc>
      </w:tr>
      <w:tr>
        <w:trPr/>
        <w:tc>
          <w:tcPr>
            <w:tcW w:w="47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liabilities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11,087</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28,300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4,918</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6,676</w:t>
            </w:r>
          </w:p>
        </w:tc>
        <w:tc>
          <w:tcPr>
            <w:tcW w:w="154" w:type="dxa"/>
            <w:tcBorders/>
            <w:vAlign w:val="center"/>
          </w:tcPr>
          <w:p>
            <w:pPr>
              <w:pStyle w:val="TableContents"/>
              <w:bidi w:val="0"/>
              <w:spacing w:before="0" w:after="1"/>
              <w:ind w:left="0" w:right="0" w:hanging="0"/>
              <w:jc w:val="left"/>
              <w:rPr/>
            </w:pPr>
            <w:r>
              <w:rPr/>
              <w:t>​</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(see table above)</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accrued expenses and other liabilities</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16,404</w:t>
            </w:r>
          </w:p>
        </w:tc>
        <w:tc>
          <w:tcPr>
            <w:tcW w:w="346" w:type="dxa"/>
            <w:tcBorders/>
            <w:vAlign w:val="center"/>
          </w:tcPr>
          <w:p>
            <w:pPr>
              <w:pStyle w:val="TableContents"/>
              <w:bidi w:val="0"/>
              <w:spacing w:before="0" w:after="1"/>
              <w:ind w:left="0" w:right="0" w:hanging="0"/>
              <w:jc w:val="left"/>
              <w:rPr/>
            </w:pPr>
            <w:r>
              <w:rPr/>
              <w:t>​</w:t>
            </w:r>
          </w:p>
        </w:tc>
        <w:tc>
          <w:tcPr>
            <w:tcW w:w="3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35,610</w:t>
            </w:r>
          </w:p>
        </w:tc>
        <w:tc>
          <w:tcPr>
            <w:tcW w:w="154"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16"/>
              </w:rPr>
              <w:t>As of June 30, 2026, “Other liabilities” includes $3.1</w:t>
            </w:r>
            <w:r>
              <w:rPr>
                <w:caps w:val="false"/>
                <w:smallCaps w:val="false"/>
                <w:spacing w:val="4"/>
              </w:rPr>
              <w:t> </w:t>
            </w:r>
            <w:r>
              <w:rPr>
                <w:rFonts w:ascii="Times New Roman;Times;serif" w:hAnsi="Times New Roman;Times;serif"/>
                <w:b w:val="false"/>
                <w:i w:val="false"/>
                <w:caps w:val="false"/>
                <w:smallCaps w:val="false"/>
                <w:spacing w:val="4"/>
                <w:sz w:val="16"/>
              </w:rPr>
              <w:t>million of deferred income and liabilities, $3.4</w:t>
            </w:r>
            <w:r>
              <w:rPr>
                <w:caps w:val="false"/>
                <w:smallCaps w:val="false"/>
                <w:spacing w:val="4"/>
              </w:rPr>
              <w:t xml:space="preserve"> </w:t>
            </w:r>
            <w:r>
              <w:rPr>
                <w:rFonts w:ascii="Times New Roman;Times;serif" w:hAnsi="Times New Roman;Times;serif"/>
                <w:b w:val="false"/>
                <w:i w:val="false"/>
                <w:caps w:val="false"/>
                <w:smallCaps w:val="false"/>
                <w:spacing w:val="4"/>
                <w:sz w:val="16"/>
              </w:rPr>
              <w:t>million of management fees and other payables due Safe and $3.4</w:t>
            </w:r>
            <w:r>
              <w:rPr>
                <w:caps w:val="false"/>
                <w:smallCaps w:val="false"/>
                <w:spacing w:val="4"/>
              </w:rPr>
              <w:t xml:space="preserve"> </w:t>
            </w:r>
            <w:r>
              <w:rPr>
                <w:rFonts w:ascii="Times New Roman;Times;serif" w:hAnsi="Times New Roman;Times;serif"/>
                <w:b w:val="false"/>
                <w:i w:val="false"/>
                <w:caps w:val="false"/>
                <w:smallCaps w:val="false"/>
                <w:spacing w:val="4"/>
                <w:sz w:val="16"/>
              </w:rPr>
              <w:t>million of other payables related to real estate properties. During the three and six months ended June 30, 2026, the Company recognized $14.4</w:t>
            </w:r>
            <w:r>
              <w:rPr>
                <w:caps w:val="false"/>
                <w:smallCaps w:val="false"/>
                <w:spacing w:val="4"/>
              </w:rPr>
              <w:t xml:space="preserve"> </w:t>
            </w:r>
            <w:r>
              <w:rPr>
                <w:rFonts w:ascii="Times New Roman;Times;serif" w:hAnsi="Times New Roman;Times;serif"/>
                <w:b w:val="false"/>
                <w:i w:val="false"/>
                <w:caps w:val="false"/>
                <w:smallCaps w:val="false"/>
                <w:spacing w:val="4"/>
                <w:sz w:val="16"/>
              </w:rPr>
              <w:t>million of “Income from sales of real estate” in the Company’s consolidated statements of operations resulting from the recognition of a sale of an asset upon the expiration of a lease as the Company surrendered the property to a local municipality. As part of this sale, the Company derecognized $16.9</w:t>
            </w:r>
            <w:r>
              <w:rPr>
                <w:caps w:val="false"/>
                <w:smallCaps w:val="false"/>
                <w:spacing w:val="4"/>
              </w:rPr>
              <w:t xml:space="preserve"> </w:t>
            </w:r>
            <w:r>
              <w:rPr>
                <w:rFonts w:ascii="Times New Roman;Times;serif" w:hAnsi="Times New Roman;Times;serif"/>
                <w:b w:val="false"/>
                <w:i w:val="false"/>
                <w:caps w:val="false"/>
                <w:smallCaps w:val="false"/>
                <w:spacing w:val="4"/>
                <w:sz w:val="16"/>
              </w:rPr>
              <w:t>million of deferred income. As of December 31, 2025, “Other liabilities” includes $20.7</w:t>
            </w:r>
            <w:r>
              <w:rPr>
                <w:caps w:val="false"/>
                <w:smallCaps w:val="false"/>
                <w:spacing w:val="4"/>
              </w:rPr>
              <w:t> </w:t>
            </w:r>
            <w:r>
              <w:rPr>
                <w:rFonts w:ascii="Times New Roman;Times;serif" w:hAnsi="Times New Roman;Times;serif"/>
                <w:b w:val="false"/>
                <w:i w:val="false"/>
                <w:caps w:val="false"/>
                <w:smallCaps w:val="false"/>
                <w:spacing w:val="4"/>
                <w:sz w:val="16"/>
              </w:rPr>
              <w:t>million of deferred income and liabilities, $3.6</w:t>
            </w:r>
            <w:r>
              <w:rPr>
                <w:caps w:val="false"/>
                <w:smallCaps w:val="false"/>
                <w:spacing w:val="4"/>
              </w:rPr>
              <w:t xml:space="preserve"> </w:t>
            </w:r>
            <w:r>
              <w:rPr>
                <w:rFonts w:ascii="Times New Roman;Times;serif" w:hAnsi="Times New Roman;Times;serif"/>
                <w:b w:val="false"/>
                <w:i w:val="false"/>
                <w:caps w:val="false"/>
                <w:smallCaps w:val="false"/>
                <w:spacing w:val="4"/>
                <w:sz w:val="16"/>
              </w:rPr>
              <w:t>million of management fees due Safe and $2.8</w:t>
            </w:r>
            <w:r>
              <w:rPr>
                <w:caps w:val="false"/>
                <w:smallCaps w:val="false"/>
                <w:spacing w:val="4"/>
              </w:rPr>
              <w:t xml:space="preserve"> </w:t>
            </w:r>
            <w:r>
              <w:rPr>
                <w:rFonts w:ascii="Times New Roman;Times;serif" w:hAnsi="Times New Roman;Times;serif"/>
                <w:b w:val="false"/>
                <w:i w:val="false"/>
                <w:caps w:val="false"/>
                <w:smallCaps w:val="false"/>
                <w:spacing w:val="4"/>
                <w:sz w:val="16"/>
              </w:rPr>
              <w:t>million of other payables related to real estate properties.</w:t>
            </w:r>
            <w:r>
              <w:rPr>
                <w:caps w:val="false"/>
                <w:smallCaps w:val="false"/>
                <w:spacing w:val="4"/>
              </w:rPr>
              <w:t xml:space="preserve"> </w:t>
            </w:r>
          </w:p>
        </w:tc>
      </w:tr>
    </w:tbl>
    <w:p>
      <w:pPr>
        <w:pStyle w:val="TextBody"/>
        <w:bidi w:val="0"/>
        <w:spacing w:before="0" w:after="0"/>
        <w:ind w:left="0" w:right="0" w:hanging="0"/>
        <w:jc w:val="left"/>
        <w:rPr/>
      </w:pPr>
      <w:r>
        <w:rPr/>
        <w:t>​</w:t>
      </w:r>
    </w:p>
    <w:p>
      <w:pPr>
        <w:pStyle w:val="TextBody"/>
        <w:bidi w:val="0"/>
        <w:spacing w:before="0" w:after="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bidi w:val="0"/>
        <w:spacing w:before="0" w:after="240"/>
        <w:ind w:left="0" w:right="0" w:hanging="0"/>
        <w:jc w:val="left"/>
        <w:rPr>
          <w:rFonts w:ascii="Times New Roman;Times;serif" w:hAnsi="Times New Roman;Times;serif"/>
          <w:b/>
          <w:sz w:val="20"/>
        </w:rPr>
      </w:pPr>
      <w:bookmarkStart w:id="917" w:name="Tc_dRGT6RXWUk6-vJIxEm8Cig_9_2"/>
      <w:bookmarkStart w:id="918" w:name="Tc_rFnGeZqFaUm6UZBGaaIafg_9_0"/>
      <w:bookmarkStart w:id="919" w:name="Tc_JF806TxarEOyqESTArOlPQ_8_0"/>
      <w:bookmarkStart w:id="920" w:name="Tc_YX5KTYNUyk2kVVsaJlJRqw_7_0"/>
      <w:bookmarkStart w:id="921" w:name="Tc_gohq07HSEEG-2dGNVQ7N6w_6_3"/>
      <w:bookmarkStart w:id="922" w:name="Tc_6EPbhXavwU21AEzX2PGD9A_6_0"/>
      <w:bookmarkStart w:id="923" w:name="Tc_OzXP9noRREaw-vhveL96LQ_5_3"/>
      <w:bookmarkStart w:id="924" w:name="Tc_8S7Ffyc21Eu45Fmtouu3SQ_5_0"/>
      <w:bookmarkStart w:id="925" w:name="Tc_f3PVT7fmrU6rNKaZGKJSpw_4_3"/>
      <w:bookmarkStart w:id="926" w:name="Tc_O2es01ipMU61QJdchiSVjA_4_0"/>
      <w:bookmarkStart w:id="927" w:name="Tc_bxlx4bKOu0-vLPQ0Kam42w_3_0"/>
      <w:bookmarkStart w:id="928" w:name="Tc_0W1S8NZAMkevMIwgCRxKTA_2_3"/>
      <w:bookmarkStart w:id="929" w:name="Tc_-k5J6uxfn0SG7mN0fD8Mcg_2_0"/>
      <w:bookmarkStart w:id="930" w:name="Tc_ErxlURtEu0-R7JTkV5QDbQ_1_3"/>
      <w:bookmarkStart w:id="931" w:name="Tc_IB5_iqnDX0y_TVC8OJQpaw_1_2"/>
      <w:bookmarkStart w:id="932" w:name="Tc_Vy9vgWYOuEGS94cdh6W8Ig_1_0"/>
      <w:bookmarkStart w:id="933" w:name="_21ec7e23_0638_475a_a8e3_5d025aaf5d59"/>
      <w:bookmarkStart w:id="934" w:name="Tc_bcviKpvKbEav-6NKBjPXOA_9_5"/>
      <w:bookmarkStart w:id="935" w:name="Tc_6sq-NOuvNUmnmuq1BqVyWA_9_2"/>
      <w:bookmarkStart w:id="936" w:name="Tc_xfGz4CmHA0mwc3zc9KmtRw_9_0"/>
      <w:bookmarkStart w:id="937" w:name="Tc_BzATPYCYnEGvbV2EbkxkpA_8_0"/>
      <w:bookmarkStart w:id="938" w:name="Tc_jDfBVejKEUG6r3Nsk4doeQ_7_0"/>
      <w:bookmarkStart w:id="939" w:name="Tc_W72ArNSPrEKZiO1tHStxLw_6_10"/>
      <w:bookmarkStart w:id="940" w:name="Tc_fScLxFn6AkKzb1jv0Bi3Iw_6_8"/>
      <w:bookmarkStart w:id="941" w:name="Tc_T4V7EWt4fEuDxEx6IPRSoA_6_3"/>
      <w:bookmarkStart w:id="942" w:name="Tc_2JEnVBO0cUCKiFQhHpkfSg_6_0"/>
      <w:bookmarkStart w:id="943" w:name="Tc_Vx6g_ecxjUKcAZlALHkw9w_5_10"/>
      <w:bookmarkStart w:id="944" w:name="Tc_MjIoLsUIq0ipyboknBgnDg_5_9"/>
      <w:bookmarkStart w:id="945" w:name="Tc_GbxwkQqik0K3DhJNqpDYqg_5_8"/>
      <w:bookmarkStart w:id="946" w:name="Tc_dNRCYVqR_0mLp-1hnljftA_5_0"/>
      <w:bookmarkStart w:id="947" w:name="Tc_EmiNvdvNbE2p4GiuvMNGTQ_4_10"/>
      <w:bookmarkStart w:id="948" w:name="Tc_7sFU3duo1UitsAIPn73seA_4_9"/>
      <w:bookmarkStart w:id="949" w:name="Tc_lRCC8okx_UuRV3fvR1Cvyw_4_5"/>
      <w:bookmarkStart w:id="950" w:name="Tc_JE3oYWVp2EeGnk3b-DfGzQ_4_2"/>
      <w:bookmarkStart w:id="951" w:name="Tc_HR7opHO2b0ykF7qsk931Yw_4_0"/>
      <w:bookmarkStart w:id="952" w:name="Tc_OzTApZIGT0-uhAKQeUILIQ_3_0"/>
      <w:bookmarkStart w:id="953" w:name="Tc_ZFRs1QQev0agRZ9PMQ_LmA_2_10"/>
      <w:bookmarkStart w:id="954" w:name="Tc_Va3RfJ5blkuCzpGPFxOFzw_2_8"/>
      <w:bookmarkStart w:id="955" w:name="Tc_rOin28c9d0eYzAFKpXEpjA_2_5"/>
      <w:bookmarkStart w:id="956" w:name="Tc_rumSPaLmrUyXhy8FCI78qA_2_2"/>
      <w:bookmarkStart w:id="957" w:name="Tc_3YzpY6mPtk6Xas6i1QBX7A_1_10"/>
      <w:bookmarkStart w:id="958" w:name="Tc_CiVKBTt3MEOvtmO8082afA_1_8"/>
      <w:bookmarkStart w:id="959" w:name="Tc_y2RltOVTPECbOHKNVdxiZA_1_2"/>
      <w:bookmarkStart w:id="960" w:name="_ab5b1f0f_1368_497f_be10_0aaf60f2232b"/>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r>
        <w:rPr>
          <w:rFonts w:ascii="Times New Roman;Times;serif" w:hAnsi="Times New Roman;Times;serif"/>
          <w:b/>
          <w:sz w:val="20"/>
        </w:rPr>
        <w:t>Note 9—Debt Obligations,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debt obligations were as follows ($ in thousands): </w:t>
      </w:r>
    </w:p>
    <w:tbl>
      <w:tblPr>
        <w:tblW w:w="10205" w:type="dxa"/>
        <w:jc w:val="left"/>
        <w:tblInd w:w="0" w:type="dxa"/>
        <w:tblLayout w:type="fixed"/>
        <w:tblCellMar>
          <w:top w:w="0" w:type="dxa"/>
          <w:left w:w="0" w:type="dxa"/>
          <w:bottom w:w="0" w:type="dxa"/>
          <w:right w:w="0" w:type="dxa"/>
        </w:tblCellMar>
      </w:tblPr>
      <w:tblGrid>
        <w:gridCol w:w="3102"/>
        <w:gridCol w:w="346"/>
        <w:gridCol w:w="239"/>
        <w:gridCol w:w="887"/>
        <w:gridCol w:w="346"/>
        <w:gridCol w:w="319"/>
        <w:gridCol w:w="1182"/>
        <w:gridCol w:w="346"/>
        <w:gridCol w:w="1294"/>
        <w:gridCol w:w="826"/>
        <w:gridCol w:w="1318"/>
      </w:tblGrid>
      <w:tr>
        <w:trPr/>
        <w:tc>
          <w:tcPr>
            <w:tcW w:w="31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969770" cy="175260"/>
                      <wp:effectExtent l="0" t="0" r="0" b="0"/>
                      <wp:wrapNone/>
                      <wp:docPr id="186" name="Frame186"/>
                      <a:graphic xmlns:a="http://schemas.openxmlformats.org/drawingml/2006/main">
                        <a:graphicData uri="http://schemas.microsoft.com/office/word/2010/wordprocessingShape">
                          <wps:wsp>
                            <wps:cNvSpPr txBox="1"/>
                            <wps:spPr>
                              <a:xfrm>
                                <a:off x="0" y="0"/>
                                <a:ext cx="1969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51765" cy="175260"/>
                      <wp:effectExtent l="0" t="0" r="0" b="0"/>
                      <wp:wrapNone/>
                      <wp:docPr id="188" name="Frame18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63245" cy="175260"/>
                      <wp:effectExtent l="0" t="0" r="0" b="0"/>
                      <wp:wrapNone/>
                      <wp:docPr id="189" name="Frame189"/>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2565" cy="175260"/>
                      <wp:effectExtent l="0" t="0" r="0" b="0"/>
                      <wp:wrapNone/>
                      <wp:docPr id="191" name="Frame191"/>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750570" cy="175260"/>
                      <wp:effectExtent l="0" t="0" r="0" b="0"/>
                      <wp:wrapNone/>
                      <wp:docPr id="192" name="Frame192"/>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821690" cy="175260"/>
                      <wp:effectExtent l="0" t="0" r="0" b="0"/>
                      <wp:wrapNone/>
                      <wp:docPr id="194" name="Frame194"/>
                      <a:graphic xmlns:a="http://schemas.openxmlformats.org/drawingml/2006/main">
                        <a:graphicData uri="http://schemas.microsoft.com/office/word/2010/wordprocessingShape">
                          <wps:wsp>
                            <wps:cNvSpPr txBox="1"/>
                            <wps:spPr>
                              <a:xfrm>
                                <a:off x="0" y="0"/>
                                <a:ext cx="821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24510" cy="175260"/>
                      <wp:effectExtent l="0" t="0" r="0" b="0"/>
                      <wp:wrapNone/>
                      <wp:docPr id="195" name="Frame19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836930" cy="175260"/>
                      <wp:effectExtent l="0" t="0" r="0" b="0"/>
                      <wp:wrapNone/>
                      <wp:docPr id="196" name="Frame196"/>
                      <a:graphic xmlns:a="http://schemas.openxmlformats.org/drawingml/2006/main">
                        <a:graphicData uri="http://schemas.microsoft.com/office/word/2010/wordprocessingShape">
                          <wps:wsp>
                            <wps:cNvSpPr txBox="1"/>
                            <wps:spPr>
                              <a:xfrm>
                                <a:off x="0" y="0"/>
                                <a:ext cx="836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 Value as of </w:t>
            </w:r>
          </w:p>
        </w:tc>
        <w:tc>
          <w:tcPr>
            <w:tcW w:w="346" w:type="dxa"/>
            <w:tcBorders/>
            <w:vAlign w:val="center"/>
          </w:tcPr>
          <w:p>
            <w:pPr>
              <w:pStyle w:val="TableContents"/>
              <w:bidi w:val="0"/>
              <w:spacing w:before="0" w:after="1"/>
              <w:ind w:left="0" w:right="0" w:hanging="0"/>
              <w:jc w:val="center"/>
              <w:rPr/>
            </w:pPr>
            <w:r>
              <w:rPr/>
              <w:t>​</w:t>
            </w:r>
          </w:p>
        </w:tc>
        <w:tc>
          <w:tcPr>
            <w:tcW w:w="129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Stated</w:t>
            </w:r>
            <w:r>
              <w:rPr>
                <w:rFonts w:ascii="Times New Roman;Times;serif" w:hAnsi="Times New Roman;Times;serif"/>
                <w:sz w:val="16"/>
              </w:rPr>
              <w:t> </w:t>
            </w:r>
          </w:p>
        </w:tc>
        <w:tc>
          <w:tcPr>
            <w:tcW w:w="826" w:type="dxa"/>
            <w:tcBorders/>
            <w:vAlign w:val="center"/>
          </w:tcPr>
          <w:p>
            <w:pPr>
              <w:pStyle w:val="TableContents"/>
              <w:bidi w:val="0"/>
              <w:spacing w:before="0" w:after="1"/>
              <w:ind w:left="0" w:right="0" w:hanging="0"/>
              <w:jc w:val="left"/>
              <w:rPr/>
            </w:pPr>
            <w:r>
              <w:rPr/>
              <w:t>​</w:t>
            </w:r>
          </w:p>
        </w:tc>
        <w:tc>
          <w:tcPr>
            <w:tcW w:w="1318"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Scheduled</w:t>
            </w:r>
            <w:r>
              <w:rPr>
                <w:rFonts w:ascii="Times New Roman;Times;serif" w:hAnsi="Times New Roman;Times;serif"/>
                <w:sz w:val="16"/>
              </w:rPr>
              <w:t> </w:t>
            </w:r>
          </w:p>
        </w:tc>
      </w:tr>
      <w:tr>
        <w:trPr/>
        <w:tc>
          <w:tcPr>
            <w:tcW w:w="31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center"/>
              <w:rPr/>
            </w:pPr>
            <w:r>
              <w:rPr/>
              <w:t>  ​ ​ ​</w:t>
            </w:r>
          </w:p>
        </w:tc>
        <w:tc>
          <w:tcPr>
            <w:tcW w:w="129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Rates</w:t>
            </w:r>
          </w:p>
        </w:tc>
        <w:tc>
          <w:tcPr>
            <w:tcW w:w="826" w:type="dxa"/>
            <w:tcBorders/>
            <w:vAlign w:val="center"/>
          </w:tcPr>
          <w:p>
            <w:pPr>
              <w:pStyle w:val="TableContents"/>
              <w:bidi w:val="0"/>
              <w:spacing w:before="0" w:after="1"/>
              <w:ind w:left="0" w:right="0" w:hanging="0"/>
              <w:jc w:val="center"/>
              <w:rPr/>
            </w:pPr>
            <w:r>
              <w:rPr/>
              <w:t>  ​ ​ ​ ​ ​ ​ ​ ​ ​ ​ ​</w:t>
            </w:r>
          </w:p>
        </w:tc>
        <w:tc>
          <w:tcPr>
            <w:tcW w:w="1318"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Maturity Date</w:t>
            </w:r>
            <w:r>
              <w:rPr>
                <w:rFonts w:ascii="Times New Roman;Times;serif" w:hAnsi="Times New Roman;Times;serif"/>
                <w:b/>
                <w:sz w:val="12"/>
              </w:rPr>
              <w:t>(1)</w:t>
            </w:r>
          </w:p>
        </w:tc>
      </w:tr>
      <w:tr>
        <w:trPr/>
        <w:tc>
          <w:tcPr>
            <w:tcW w:w="310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Debt obligations:</w:t>
            </w:r>
          </w:p>
        </w:tc>
        <w:tc>
          <w:tcPr>
            <w:tcW w:w="34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19"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294" w:type="dxa"/>
            <w:tcBorders/>
            <w:shd w:fill="CCEEFF" w:val="clear"/>
            <w:vAlign w:val="center"/>
          </w:tcPr>
          <w:p>
            <w:pPr>
              <w:pStyle w:val="TableContents"/>
              <w:bidi w:val="0"/>
              <w:spacing w:before="0" w:after="1"/>
              <w:ind w:left="0" w:right="0" w:hanging="0"/>
              <w:jc w:val="right"/>
              <w:rPr/>
            </w:pPr>
            <w:r>
              <w:rPr/>
              <w:t>  ​</w:t>
            </w:r>
          </w:p>
        </w:tc>
        <w:tc>
          <w:tcPr>
            <w:tcW w:w="826" w:type="dxa"/>
            <w:tcBorders/>
            <w:shd w:fill="CCEEFF" w:val="clear"/>
            <w:vAlign w:val="center"/>
          </w:tcPr>
          <w:p>
            <w:pPr>
              <w:pStyle w:val="TableContents"/>
              <w:bidi w:val="0"/>
              <w:spacing w:before="0" w:after="1"/>
              <w:ind w:left="0" w:right="0" w:hanging="0"/>
              <w:jc w:val="left"/>
              <w:rPr/>
            </w:pPr>
            <w:r>
              <w:rPr/>
              <w:t> </w:t>
            </w:r>
          </w:p>
        </w:tc>
        <w:tc>
          <w:tcPr>
            <w:tcW w:w="1318" w:type="dxa"/>
            <w:tcBorders/>
            <w:shd w:fill="CCEEFF" w:val="clear"/>
            <w:vAlign w:val="center"/>
          </w:tcPr>
          <w:p>
            <w:pPr>
              <w:pStyle w:val="TableContents"/>
              <w:bidi w:val="0"/>
              <w:spacing w:before="0" w:after="1"/>
              <w:ind w:left="0" w:right="0" w:hanging="0"/>
              <w:jc w:val="right"/>
              <w:rPr/>
            </w:pPr>
            <w:r>
              <w:rPr/>
              <w:t>  ​</w:t>
            </w:r>
          </w:p>
        </w:tc>
      </w:tr>
      <w:tr>
        <w:trPr/>
        <w:tc>
          <w:tcPr>
            <w:tcW w:w="31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Safe Credit Facility</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115,000</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115,000</w:t>
            </w:r>
          </w:p>
        </w:tc>
        <w:tc>
          <w:tcPr>
            <w:tcW w:w="346" w:type="dxa"/>
            <w:tcBorders/>
            <w:vAlign w:val="center"/>
          </w:tcPr>
          <w:p>
            <w:pPr>
              <w:pStyle w:val="TableContents"/>
              <w:bidi w:val="0"/>
              <w:spacing w:before="0" w:after="1"/>
              <w:ind w:left="0" w:right="0" w:hanging="0"/>
              <w:jc w:val="left"/>
              <w:rPr/>
            </w:pPr>
            <w:r>
              <w:rPr/>
              <w:t>​</w:t>
            </w:r>
          </w:p>
        </w:tc>
        <w:tc>
          <w:tcPr>
            <w:tcW w:w="1294"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8.00</w:t>
            </w:r>
          </w:p>
        </w:tc>
        <w:tc>
          <w:tcPr>
            <w:tcW w:w="8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1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March 2028</w:t>
            </w:r>
          </w:p>
        </w:tc>
      </w:tr>
      <w:tr>
        <w:trPr/>
        <w:tc>
          <w:tcPr>
            <w:tcW w:w="3102"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Margin Loan Facility</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94,524</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91,087</w:t>
            </w:r>
          </w:p>
        </w:tc>
        <w:tc>
          <w:tcPr>
            <w:tcW w:w="346" w:type="dxa"/>
            <w:tcBorders/>
            <w:shd w:fill="CCEEFF" w:val="clear"/>
            <w:vAlign w:val="center"/>
          </w:tcPr>
          <w:p>
            <w:pPr>
              <w:pStyle w:val="TableContents"/>
              <w:bidi w:val="0"/>
              <w:spacing w:before="0" w:after="1"/>
              <w:ind w:left="0" w:right="0" w:hanging="0"/>
              <w:jc w:val="left"/>
              <w:rPr/>
            </w:pPr>
            <w:r>
              <w:rPr/>
              <w:t>​</w:t>
            </w:r>
          </w:p>
        </w:tc>
        <w:tc>
          <w:tcPr>
            <w:tcW w:w="129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SOFR plus 3.50</w:t>
            </w:r>
          </w:p>
        </w:tc>
        <w:tc>
          <w:tcPr>
            <w:tcW w:w="8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1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March 2028</w:t>
            </w:r>
          </w:p>
        </w:tc>
      </w:tr>
      <w:tr>
        <w:trPr/>
        <w:tc>
          <w:tcPr>
            <w:tcW w:w="3102"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Senior Construction Mortgage Loan</w:t>
            </w:r>
            <w:r>
              <w:rPr>
                <w:rFonts w:ascii="Times New Roman;Times;serif" w:hAnsi="Times New Roman;Times;serif"/>
                <w:sz w:val="15"/>
              </w:rPr>
              <w:t>(3)</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64,270</w:t>
            </w:r>
          </w:p>
        </w:tc>
        <w:tc>
          <w:tcPr>
            <w:tcW w:w="346" w:type="dxa"/>
            <w:tcBorders/>
            <w:vAlign w:val="center"/>
          </w:tcPr>
          <w:p>
            <w:pPr>
              <w:pStyle w:val="TableContents"/>
              <w:bidi w:val="0"/>
              <w:spacing w:before="0" w:after="1"/>
              <w:ind w:left="0" w:right="0" w:hanging="0"/>
              <w:jc w:val="left"/>
              <w:rPr/>
            </w:pPr>
            <w:r>
              <w:rPr/>
              <w:t>​</w:t>
            </w:r>
          </w:p>
        </w:tc>
        <w:tc>
          <w:tcPr>
            <w:tcW w:w="1294"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left"/>
              <w:rPr/>
            </w:pPr>
            <w:r>
              <w:rPr/>
              <w:t>​</w:t>
            </w:r>
          </w:p>
        </w:tc>
        <w:tc>
          <w:tcPr>
            <w:tcW w:w="1318" w:type="dxa"/>
            <w:tcBorders/>
            <w:vAlign w:val="center"/>
          </w:tcPr>
          <w:p>
            <w:pPr>
              <w:pStyle w:val="TableContents"/>
              <w:bidi w:val="0"/>
              <w:spacing w:before="0" w:after="1"/>
              <w:ind w:left="0" w:right="0" w:hanging="0"/>
              <w:jc w:val="center"/>
              <w:rPr/>
            </w:pPr>
            <w:r>
              <w:rPr/>
              <w:t>—</w:t>
            </w:r>
          </w:p>
        </w:tc>
      </w:tr>
      <w:tr>
        <w:trPr/>
        <w:tc>
          <w:tcPr>
            <w:tcW w:w="31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209,524</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270,357</w:t>
            </w:r>
          </w:p>
        </w:tc>
        <w:tc>
          <w:tcPr>
            <w:tcW w:w="346" w:type="dxa"/>
            <w:tcBorders/>
            <w:shd w:fill="CCEEFF" w:val="clear"/>
            <w:vAlign w:val="center"/>
          </w:tcPr>
          <w:p>
            <w:pPr>
              <w:pStyle w:val="TableContents"/>
              <w:bidi w:val="0"/>
              <w:spacing w:before="0" w:after="1"/>
              <w:ind w:left="0" w:right="0" w:hanging="0"/>
              <w:jc w:val="left"/>
              <w:rPr/>
            </w:pPr>
            <w:r>
              <w:rPr/>
              <w:t>​</w:t>
            </w:r>
          </w:p>
        </w:tc>
        <w:tc>
          <w:tcPr>
            <w:tcW w:w="1294" w:type="dxa"/>
            <w:tcBorders/>
            <w:shd w:fill="CCEEFF" w:val="clear"/>
            <w:vAlign w:val="center"/>
          </w:tcPr>
          <w:p>
            <w:pPr>
              <w:pStyle w:val="TableContents"/>
              <w:bidi w:val="0"/>
              <w:spacing w:before="0" w:after="1"/>
              <w:ind w:left="0" w:right="0" w:hanging="0"/>
              <w:jc w:val="right"/>
              <w:rPr/>
            </w:pPr>
            <w:r>
              <w:rPr/>
              <w:t>  ​</w:t>
            </w:r>
          </w:p>
        </w:tc>
        <w:tc>
          <w:tcPr>
            <w:tcW w:w="826" w:type="dxa"/>
            <w:tcBorders/>
            <w:shd w:fill="CCEEFF" w:val="clear"/>
            <w:vAlign w:val="center"/>
          </w:tcPr>
          <w:p>
            <w:pPr>
              <w:pStyle w:val="TableContents"/>
              <w:bidi w:val="0"/>
              <w:spacing w:before="0" w:after="1"/>
              <w:ind w:left="0" w:right="0" w:hanging="0"/>
              <w:jc w:val="left"/>
              <w:rPr/>
            </w:pPr>
            <w:r>
              <w:rPr/>
              <w:t> </w:t>
            </w:r>
          </w:p>
        </w:tc>
        <w:tc>
          <w:tcPr>
            <w:tcW w:w="1318" w:type="dxa"/>
            <w:tcBorders/>
            <w:shd w:fill="CCEEFF" w:val="clear"/>
            <w:vAlign w:val="center"/>
          </w:tcPr>
          <w:p>
            <w:pPr>
              <w:pStyle w:val="TableContents"/>
              <w:bidi w:val="0"/>
              <w:spacing w:before="0" w:after="1"/>
              <w:ind w:left="0" w:right="0" w:hanging="0"/>
              <w:jc w:val="center"/>
              <w:rPr/>
            </w:pPr>
            <w:r>
              <w:rPr/>
              <w:t>  ​</w:t>
            </w:r>
          </w:p>
        </w:tc>
      </w:tr>
      <w:tr>
        <w:trPr/>
        <w:tc>
          <w:tcPr>
            <w:tcW w:w="31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discounts and deferred financing costs, net</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w:t>
            </w:r>
          </w:p>
        </w:tc>
        <w:tc>
          <w:tcPr>
            <w:tcW w:w="346"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(1,636)</w:t>
            </w:r>
          </w:p>
        </w:tc>
        <w:tc>
          <w:tcPr>
            <w:tcW w:w="346" w:type="dxa"/>
            <w:tcBorders/>
            <w:vAlign w:val="center"/>
          </w:tcPr>
          <w:p>
            <w:pPr>
              <w:pStyle w:val="TableContents"/>
              <w:bidi w:val="0"/>
              <w:spacing w:before="0" w:after="1"/>
              <w:ind w:left="0" w:right="0" w:hanging="0"/>
              <w:jc w:val="left"/>
              <w:rPr/>
            </w:pPr>
            <w:r>
              <w:rPr/>
              <w:t>​</w:t>
            </w:r>
          </w:p>
        </w:tc>
        <w:tc>
          <w:tcPr>
            <w:tcW w:w="1294" w:type="dxa"/>
            <w:tcBorders/>
            <w:vAlign w:val="center"/>
          </w:tcPr>
          <w:p>
            <w:pPr>
              <w:pStyle w:val="TableContents"/>
              <w:bidi w:val="0"/>
              <w:spacing w:before="0" w:after="1"/>
              <w:ind w:left="0" w:right="0" w:hanging="0"/>
              <w:jc w:val="right"/>
              <w:rPr/>
            </w:pPr>
            <w:r>
              <w:rPr/>
              <w:t>  ​</w:t>
            </w:r>
          </w:p>
        </w:tc>
        <w:tc>
          <w:tcPr>
            <w:tcW w:w="826" w:type="dxa"/>
            <w:tcBorders/>
            <w:vAlign w:val="center"/>
          </w:tcPr>
          <w:p>
            <w:pPr>
              <w:pStyle w:val="TableContents"/>
              <w:bidi w:val="0"/>
              <w:spacing w:before="0" w:after="1"/>
              <w:ind w:left="0" w:right="0" w:hanging="0"/>
              <w:jc w:val="left"/>
              <w:rPr/>
            </w:pPr>
            <w:r>
              <w:rPr/>
              <w:t> </w:t>
            </w:r>
          </w:p>
        </w:tc>
        <w:tc>
          <w:tcPr>
            <w:tcW w:w="1318" w:type="dxa"/>
            <w:tcBorders/>
            <w:vAlign w:val="center"/>
          </w:tcPr>
          <w:p>
            <w:pPr>
              <w:pStyle w:val="TableContents"/>
              <w:bidi w:val="0"/>
              <w:spacing w:before="0" w:after="1"/>
              <w:ind w:left="0" w:right="0" w:hanging="0"/>
              <w:jc w:val="right"/>
              <w:rPr/>
            </w:pPr>
            <w:r>
              <w:rPr/>
              <w:t>  ​</w:t>
            </w:r>
          </w:p>
        </w:tc>
      </w:tr>
      <w:tr>
        <w:trPr/>
        <w:tc>
          <w:tcPr>
            <w:tcW w:w="3102"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Total debt obligations, net</w:t>
            </w:r>
            <w:r>
              <w:rPr>
                <w:rFonts w:ascii="Times New Roman;Times;serif" w:hAnsi="Times New Roman;Times;serif"/>
                <w:b/>
                <w:sz w:val="15"/>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208,838</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268,721</w:t>
            </w:r>
          </w:p>
        </w:tc>
        <w:tc>
          <w:tcPr>
            <w:tcW w:w="346" w:type="dxa"/>
            <w:tcBorders/>
            <w:shd w:fill="CCEEFF" w:val="clear"/>
            <w:vAlign w:val="center"/>
          </w:tcPr>
          <w:p>
            <w:pPr>
              <w:pStyle w:val="TableContents"/>
              <w:bidi w:val="0"/>
              <w:spacing w:before="0" w:after="1"/>
              <w:ind w:left="0" w:right="0" w:hanging="0"/>
              <w:jc w:val="left"/>
              <w:rPr/>
            </w:pPr>
            <w:r>
              <w:rPr/>
              <w:t>​</w:t>
            </w:r>
          </w:p>
        </w:tc>
        <w:tc>
          <w:tcPr>
            <w:tcW w:w="1294" w:type="dxa"/>
            <w:tcBorders/>
            <w:shd w:fill="CCEEFF" w:val="clear"/>
            <w:vAlign w:val="center"/>
          </w:tcPr>
          <w:p>
            <w:pPr>
              <w:pStyle w:val="TableContents"/>
              <w:bidi w:val="0"/>
              <w:spacing w:before="0" w:after="1"/>
              <w:ind w:left="0" w:right="0" w:hanging="0"/>
              <w:jc w:val="right"/>
              <w:rPr/>
            </w:pPr>
            <w:r>
              <w:rPr/>
              <w:t>  ​</w:t>
            </w:r>
          </w:p>
        </w:tc>
        <w:tc>
          <w:tcPr>
            <w:tcW w:w="826" w:type="dxa"/>
            <w:tcBorders/>
            <w:shd w:fill="CCEEFF" w:val="clear"/>
            <w:vAlign w:val="center"/>
          </w:tcPr>
          <w:p>
            <w:pPr>
              <w:pStyle w:val="TableContents"/>
              <w:bidi w:val="0"/>
              <w:spacing w:before="0" w:after="1"/>
              <w:ind w:left="0" w:right="0" w:hanging="0"/>
              <w:jc w:val="left"/>
              <w:rPr/>
            </w:pPr>
            <w:r>
              <w:rPr/>
              <w:t> </w:t>
            </w:r>
          </w:p>
        </w:tc>
        <w:tc>
          <w:tcPr>
            <w:tcW w:w="1318" w:type="dxa"/>
            <w:tcBorders/>
            <w:shd w:fill="CCEEFF" w:val="clear"/>
            <w:vAlign w:val="center"/>
          </w:tcPr>
          <w:p>
            <w:pPr>
              <w:pStyle w:val="TableContents"/>
              <w:bidi w:val="0"/>
              <w:spacing w:before="0" w:after="1"/>
              <w:ind w:left="0" w:right="0" w:hanging="0"/>
              <w:jc w:val="right"/>
              <w:rPr/>
            </w:pPr>
            <w:r>
              <w:rPr/>
              <w:t>  ​</w:t>
            </w:r>
          </w:p>
        </w:tc>
      </w:tr>
    </w:tbl>
    <w:tbl>
      <w:tblPr>
        <w:tblW w:w="3152" w:type="dxa"/>
        <w:jc w:val="left"/>
        <w:tblInd w:w="0" w:type="dxa"/>
        <w:tblLayout w:type="fixed"/>
        <w:tblCellMar>
          <w:top w:w="0" w:type="dxa"/>
          <w:left w:w="0" w:type="dxa"/>
          <w:bottom w:w="0" w:type="dxa"/>
          <w:right w:w="0" w:type="dxa"/>
        </w:tblCellMar>
      </w:tblPr>
      <w:tblGrid>
        <w:gridCol w:w="331"/>
        <w:gridCol w:w="282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282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12529"/>
                <w:sz w:val="16"/>
              </w:rPr>
            </w:pPr>
            <w:r>
              <w:rPr>
                <w:rFonts w:ascii="Times New Roman;Times;serif" w:hAnsi="Times New Roman;Times;serif"/>
                <w:b w:val="false"/>
                <w:i w:val="false"/>
                <w:caps w:val="false"/>
                <w:smallCaps w:val="false"/>
                <w:color w:val="212529"/>
                <w:sz w:val="16"/>
              </w:rPr>
              <w:t>Represents the extended maturity date.</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16"/>
              </w:rPr>
              <w:t>The Company has the option to pay interest in kind (“PIK”) on its quarterly interest payments and such PIK is added to the principal balance on the Margin Loan Facility. The applicable margin on the Margin Loan Facility increases by 25</w:t>
            </w:r>
            <w:r>
              <w:rPr>
                <w:caps w:val="false"/>
                <w:smallCaps w:val="false"/>
                <w:spacing w:val="4"/>
              </w:rPr>
              <w:t> </w:t>
            </w:r>
            <w:r>
              <w:rPr>
                <w:rFonts w:ascii="Times New Roman;Times;serif" w:hAnsi="Times New Roman;Times;serif"/>
                <w:b w:val="false"/>
                <w:i w:val="false"/>
                <w:caps w:val="false"/>
                <w:smallCaps w:val="false"/>
                <w:spacing w:val="4"/>
                <w:sz w:val="16"/>
              </w:rPr>
              <w:t>basis points </w:t>
            </w:r>
            <w:r>
              <w:rPr>
                <w:rFonts w:ascii="Times New Roman;Times;serif" w:hAnsi="Times New Roman;Times;serif"/>
                <w:b w:val="false"/>
                <w:i w:val="false"/>
                <w:caps w:val="false"/>
                <w:smallCaps w:val="false"/>
                <w:sz w:val="16"/>
              </w:rPr>
              <w:t>for the entirety of the interest period immediately succeeding any interest period with respect to which the Company makes a PIK election.</w:t>
            </w:r>
          </w:p>
        </w:tc>
      </w:tr>
    </w:tbl>
    <w:tbl>
      <w:tblPr>
        <w:tblW w:w="1592" w:type="dxa"/>
        <w:jc w:val="left"/>
        <w:tblInd w:w="0" w:type="dxa"/>
        <w:tblLayout w:type="fixed"/>
        <w:tblCellMar>
          <w:top w:w="0" w:type="dxa"/>
          <w:left w:w="0" w:type="dxa"/>
          <w:bottom w:w="0" w:type="dxa"/>
          <w:right w:w="0" w:type="dxa"/>
        </w:tblCellMar>
      </w:tblPr>
      <w:tblGrid>
        <w:gridCol w:w="331"/>
        <w:gridCol w:w="126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12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Refer to Note 5.</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991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16"/>
              </w:rPr>
              <w:t>During the three months ended June 30, 2026 and 2025, the Company capitalized interest expense on qualifying real estate assets of $0.2</w:t>
            </w:r>
            <w:r>
              <w:rPr>
                <w:caps w:val="false"/>
                <w:smallCaps w:val="false"/>
                <w:spacing w:val="4"/>
              </w:rPr>
              <w:t xml:space="preserve"> </w:t>
            </w:r>
            <w:r>
              <w:rPr>
                <w:rFonts w:ascii="Times New Roman;Times;serif" w:hAnsi="Times New Roman;Times;serif"/>
                <w:b w:val="false"/>
                <w:i w:val="false"/>
                <w:caps w:val="false"/>
                <w:smallCaps w:val="false"/>
                <w:spacing w:val="4"/>
                <w:sz w:val="16"/>
              </w:rPr>
              <w:t>million and $1.4</w:t>
            </w:r>
            <w:r>
              <w:rPr>
                <w:caps w:val="false"/>
                <w:smallCaps w:val="false"/>
                <w:spacing w:val="4"/>
              </w:rPr>
              <w:t xml:space="preserve"> </w:t>
            </w:r>
            <w:r>
              <w:rPr>
                <w:rFonts w:ascii="Times New Roman;Times;serif" w:hAnsi="Times New Roman;Times;serif"/>
                <w:b w:val="false"/>
                <w:i w:val="false"/>
                <w:caps w:val="false"/>
                <w:smallCaps w:val="false"/>
                <w:spacing w:val="4"/>
                <w:sz w:val="16"/>
              </w:rPr>
              <w:t>million, respectively. During the six months ended June 30, 2026 and 2025, the Company capitalized interest expense on qualifying real estate assets of $0.3</w:t>
            </w:r>
            <w:r>
              <w:rPr>
                <w:caps w:val="false"/>
                <w:smallCaps w:val="false"/>
                <w:spacing w:val="4"/>
              </w:rPr>
              <w:t xml:space="preserve"> </w:t>
            </w:r>
            <w:r>
              <w:rPr>
                <w:rFonts w:ascii="Times New Roman;Times;serif" w:hAnsi="Times New Roman;Times;serif"/>
                <w:b w:val="false"/>
                <w:i w:val="false"/>
                <w:caps w:val="false"/>
                <w:smallCaps w:val="false"/>
                <w:spacing w:val="4"/>
                <w:sz w:val="16"/>
              </w:rPr>
              <w:t>million and $2.5</w:t>
            </w:r>
            <w:r>
              <w:rPr>
                <w:caps w:val="false"/>
                <w:smallCaps w:val="false"/>
                <w:spacing w:val="4"/>
              </w:rPr>
              <w:t xml:space="preserve"> </w:t>
            </w:r>
            <w:r>
              <w:rPr>
                <w:rFonts w:ascii="Times New Roman;Times;serif" w:hAnsi="Times New Roman;Times;serif"/>
                <w:b w:val="false"/>
                <w:i w:val="false"/>
                <w:caps w:val="false"/>
                <w:smallCaps w:val="false"/>
                <w:spacing w:val="4"/>
                <w:sz w:val="16"/>
              </w:rPr>
              <w:t xml:space="preserve">million, respectively. </w:t>
            </w:r>
          </w:p>
        </w:tc>
      </w:tr>
    </w:tbl>
    <w:p>
      <w:pPr>
        <w:pStyle w:val="TextBody"/>
        <w:bidi w:val="0"/>
        <w:spacing w:before="0" w:after="0"/>
        <w:ind w:left="0" w:right="0" w:firstLine="36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sz w:val="20"/>
        </w:rPr>
        <w:t>Future Scheduled Maturities</w:t>
      </w:r>
      <w:r>
        <w:rPr>
          <w:rFonts w:ascii="Times New Roman;Times;serif" w:hAnsi="Times New Roman;Times;serif"/>
          <w:sz w:val="20"/>
        </w:rPr>
        <w:t xml:space="preserve">—As of June 30, 2026, future scheduled maturities of outstanding debt obligations, </w:t>
      </w:r>
      <w:r>
        <w:rPr>
          <w:rFonts w:ascii="Times New Roman;Times;serif" w:hAnsi="Times New Roman;Times;serif"/>
          <w:color w:val="212529"/>
          <w:sz w:val="20"/>
        </w:rPr>
        <w:t>assuming all extensions that can be exercised at the Company’s option,</w:t>
      </w:r>
      <w:r>
        <w:rPr>
          <w:rFonts w:ascii="Times New Roman;Times;serif" w:hAnsi="Times New Roman;Times;serif"/>
          <w:sz w:val="20"/>
        </w:rPr>
        <w:t xml:space="preserve"> are as follows ($ in thousands):</w:t>
      </w:r>
    </w:p>
    <w:p>
      <w:pPr>
        <w:pStyle w:val="TextBody"/>
        <w:bidi w:val="0"/>
        <w:spacing w:before="0" w:after="0"/>
        <w:ind w:left="0" w:right="0" w:firstLine="360"/>
        <w:jc w:val="left"/>
        <w:rPr/>
      </w:pPr>
      <w:r>
        <w:rPr/>
        <w:t>​</w:t>
      </w:r>
    </w:p>
    <w:tbl>
      <w:tblPr>
        <w:tblW w:w="5872" w:type="dxa"/>
        <w:jc w:val="left"/>
        <w:tblInd w:w="0" w:type="dxa"/>
        <w:tblLayout w:type="fixed"/>
        <w:tblCellMar>
          <w:top w:w="0" w:type="dxa"/>
          <w:left w:w="0" w:type="dxa"/>
          <w:bottom w:w="0" w:type="dxa"/>
          <w:right w:w="0" w:type="dxa"/>
        </w:tblCellMar>
      </w:tblPr>
      <w:tblGrid>
        <w:gridCol w:w="4666"/>
        <w:gridCol w:w="109"/>
        <w:gridCol w:w="211"/>
        <w:gridCol w:w="886"/>
      </w:tblGrid>
      <w:tr>
        <w:trPr/>
        <w:tc>
          <w:tcPr>
            <w:tcW w:w="4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962910" cy="175260"/>
                      <wp:effectExtent l="0" t="0" r="0" b="0"/>
                      <wp:wrapNone/>
                      <wp:docPr id="197" name="Frame197"/>
                      <a:graphic xmlns:a="http://schemas.openxmlformats.org/drawingml/2006/main">
                        <a:graphicData uri="http://schemas.microsoft.com/office/word/2010/wordprocessingShape">
                          <wps:wsp>
                            <wps:cNvSpPr txBox="1"/>
                            <wps:spPr>
                              <a:xfrm>
                                <a:off x="0" y="0"/>
                                <a:ext cx="2962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9215" cy="175260"/>
                      <wp:effectExtent l="0" t="0" r="0" b="0"/>
                      <wp:wrapNone/>
                      <wp:docPr id="198" name="Frame1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62610" cy="175260"/>
                      <wp:effectExtent l="0" t="0" r="0" b="0"/>
                      <wp:wrapNone/>
                      <wp:docPr id="200" name="Frame20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 six months)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209,524</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principal maturities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209,524</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discounts and deferred financing costs, net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obligations,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208,838</w:t>
            </w:r>
          </w:p>
        </w:tc>
      </w:tr>
    </w:tbl>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Safe Credit Facility</w:t>
      </w:r>
      <w:r>
        <w:rPr>
          <w:rFonts w:ascii="Times New Roman;Times;serif" w:hAnsi="Times New Roman;Times;serif"/>
          <w:sz w:val="20"/>
        </w:rPr>
        <w:t>—In connection with the Spin-Off, on March 31, 2023, the Company, as borrower, entered into a credit agreement with Safe for a secured term loan with an outstanding principal amount of $115.0 million, plus up to $25.0 million in incremental borrowing capacity for specified purposes (as amended from time to time, the "Safe Credit Facility"). On March 28, 2025, the Company and Safe entered into an amendment to the Safe Credit Facility that, among other things, extended the maturity date by one year to March 31, 2028, provides that the $25.0 million in incremental borrowing capacity under the facility may be re-drawn for permitted purposes and permitted the Company to repurchase up to $10.0 million of its shares pursuant to its share repurchase program (refer to Note 12).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Interest on borrowings under the Safe Credit Facility is payable in cash and accrues interest at a rate of (x) 8.00% per annum or (y) to the extent any loan remains outstanding under an incremental facility available under the Safe Credit Facility at such time, 10.00% per annum, as applicable. Amounts outstanding under the Safe Credit Facility may be prepaid at any time, in whole or in part, without premium or penalty.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three months ended June 30, 2026 and 2025, the Company incurred $2.4 million and $2.4 million, respectively, of interest expense gross of amounts capitalized on the Safe Credit Facility, which is included in “Interest expense” in the Company’s consolidated statements of operations. During the six months ended June 30, 2026 and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incurred $4.7 million and $4.7 million, respectively, of interest expense gross of amounts capitalized on the Safe Credit Facility, which is included in “Interest expense” in the Company’s consolidated statements of operations. </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b/>
          <w:sz w:val="20"/>
        </w:rPr>
        <w:t>Margin Loan Facility</w:t>
      </w:r>
      <w:r>
        <w:rPr>
          <w:rFonts w:ascii="Times New Roman;Times;serif" w:hAnsi="Times New Roman;Times;serif"/>
          <w:sz w:val="20"/>
        </w:rPr>
        <w:t xml:space="preserve">—On March 31, 2023, STAR Investment Holdings SPV LLC, a Delaware limited liability company and wholly-owned subsidiary of the Company ("STAR SPV"), as borrower, entered into a margin loan agreement providing for a three-year, $140.0 million senior secured margin loan facility (as amended from time to time, the "Margin Loan Facility"), with Morgan Stanley Senior Funding, Inc., as administrative agent, Morgan Stanley &amp; Co. LLC, as calculation agent, and Morgan Stanley Bank, N.A., as initial lender. The Margin Loan Facility is secured by a first priority pledge of the Safe Shares and has a principal balance of $94.5 million as of June 30, 2026. On March 28, 2025, the Company entered into an amendment to the Margin Loan Facility that, among other things, extended the maturity date from March 2026 to March 2028, increased the interest rate by 50 basis points, provides for an additional $15.8 million delayed-draw capital commitment from the lender (in addition to the outstanding principal balance on that date) and eased certain collateral posting and release triggers from then existing levels. </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on the Margin Loan Facility is payable in cash; provided, that STAR SPV may, at its option, elect that the interest for any future interest period be paid-in-kind. Amounts outstanding under the Margin Loan Facility accrue interest at a rate equal to term SOFR for a three-month tenor plus a spread. Amounts outstanding under the Margin Loan Facility may be prepaid at any time upon prior notice, in whole or in part, subject to the payment of any applicable make-whole amount.</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b/>
          <w:sz w:val="20"/>
        </w:rPr>
        <w:t>Senior Construction Mortgage Loan</w:t>
      </w:r>
      <w:r>
        <w:rPr>
          <w:rFonts w:ascii="Times New Roman;Times;serif" w:hAnsi="Times New Roman;Times;serif"/>
          <w:sz w:val="20"/>
        </w:rPr>
        <w:t xml:space="preserve">—In December 2023, the Venture (refer to Note 5) entered into an $80.0 million senior construction mortgage loan (the “Loan”). The Loan was interest only during the term and accrued interest at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+ 6.85% (with a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floor of 3.65%) and featured a 1.0% origination fee and a 1.85% exit fee, both on the total loan commitment. A subsidiary of the Company provided a completion and carry guaranty on the Loan and was required to maintain a minimum net worth and a minimum liquidity amount both prior to and after the completion of the Project while the Loan was outstanding. The Company deconsolidated the Venture and the Loan in March 2026 (refer to Note 5).</w:t>
      </w:r>
    </w:p>
    <w:p>
      <w:pPr>
        <w:pStyle w:val="TextBody"/>
        <w:shd w:fill="FFFFFF" w:val="clear"/>
        <w:bidi w:val="0"/>
        <w:spacing w:before="0" w:after="0"/>
        <w:ind w:left="0" w:right="0" w:firstLine="360"/>
        <w:jc w:val="both"/>
        <w:rPr/>
      </w:pPr>
      <w:r>
        <w:rPr/>
        <w:t>​</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b/>
          <w:sz w:val="20"/>
        </w:rPr>
        <w:t>Debt Covenants</w:t>
      </w:r>
      <w:r>
        <w:rPr>
          <w:rFonts w:ascii="Times New Roman;Times;serif" w:hAnsi="Times New Roman;Times;serif"/>
          <w:sz w:val="20"/>
        </w:rPr>
        <w:t>—The Safe Credit Facility requires that the Company comply with various covenants, including, without limitation, covenants restricting, subject to certain exceptions, indebtedness, liens, investments, mergers, asset sales and the payment of certain dividends. Additionally, the Safe Credit Facility includes customary representations and warranties as well as customary events of default, the occurrence of which, following any applicable grace period, would permit New Safe to, among other things, declare the principal, accrued interest and other obligations of the Company under the Safe Credit Facility to be immediately due and payable and foreclose on the collateral securing the Safe Credit Facility.</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Margin Loan Facility requires that STAR SPV comply with various covenants, including, without limitation, covenants restricting, subject to certain exceptions, indebtedness, liens, investments and the payment of dividends. Additionally, the Margin Loan Facility includes customary representations and warranties, events of default and other creditor protections for this type of facility. Upon the occurrence of certain events which are customary for this type of facility, STAR SPV may be required to prepay all amounts due under the Margin Loan Facility or post additional collateral in accordance with the Margin Loan Facility and related agreements.</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the Company was in compliance with all of its financial covenants.</w:t>
      </w:r>
    </w:p>
    <w:p>
      <w:pPr>
        <w:pStyle w:val="TextBody"/>
        <w:shd w:fill="FFFFFF" w:val="clear"/>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10—Commitments and Contingencies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sz w:val="20"/>
        </w:rPr>
        <w:t>Legal Proceedings</w:t>
      </w:r>
      <w:r>
        <w:rPr>
          <w:rFonts w:ascii="Times New Roman;Times;serif" w:hAnsi="Times New Roman;Times;serif"/>
          <w:sz w:val="20"/>
        </w:rPr>
        <w:t>—</w:t>
      </w:r>
      <w:r>
        <w:rPr>
          <w:rFonts w:ascii="Times New Roman;Times;serif" w:hAnsi="Times New Roman;Times;serif"/>
          <w:spacing w:val="4"/>
          <w:sz w:val="20"/>
        </w:rPr>
        <w:t>The Company and/or one or more of its subsidiaries is party to various pending litigation matters that are considered ordinary routine litigation incidental to the Company’s business as a finance and investment company focused on the commercial real estate industry, including foreclosure-related proceedings. The Company believes it is not a party to, nor are any of its properties the subject of, any pending legal proceeding that would have a material adverse effect on the Company’s consolidated financial statements.</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11—Risk Management</w:t>
      </w:r>
    </w:p>
    <w:p>
      <w:pPr>
        <w:pStyle w:val="TextBody"/>
        <w:bidi w:val="0"/>
        <w:spacing w:before="0" w:after="0"/>
        <w:ind w:left="0" w:right="0" w:hanging="0"/>
        <w:jc w:val="left"/>
        <w:rPr>
          <w:rFonts w:ascii="Times New Roman;Times;serif" w:hAnsi="Times New Roman;Times;serif"/>
          <w:b/>
          <w:spacing w:val="-4"/>
          <w:sz w:val="20"/>
        </w:rPr>
      </w:pPr>
      <w:r>
        <w:rPr>
          <w:rFonts w:ascii="Times New Roman;Times;serif" w:hAnsi="Times New Roman;Times;serif"/>
          <w:b/>
          <w:spacing w:val="-4"/>
          <w:sz w:val="20"/>
        </w:rPr>
        <w:t>Risk management</w:t>
      </w:r>
    </w:p>
    <w:p>
      <w:pPr>
        <w:pStyle w:val="TextBody"/>
        <w:bidi w:val="0"/>
        <w:spacing w:before="0" w:after="0"/>
        <w:ind w:left="0" w:right="0" w:hanging="0"/>
        <w:jc w:val="left"/>
        <w:rPr/>
      </w:pPr>
      <w:r>
        <w:rPr/>
        <w:t>​</w:t>
      </w:r>
    </w:p>
    <w:p>
      <w:pPr>
        <w:pStyle w:val="TextBody"/>
        <w:bidi w:val="0"/>
        <w:spacing w:before="0" w:after="0"/>
        <w:ind w:left="0" w:right="0" w:firstLine="400"/>
        <w:jc w:val="both"/>
        <w:rPr>
          <w:rFonts w:ascii="Times New Roman;Times;serif" w:hAnsi="Times New Roman;Times;serif"/>
          <w:spacing w:val="4"/>
          <w:sz w:val="20"/>
        </w:rPr>
      </w:pPr>
      <w:r>
        <w:rPr>
          <w:rFonts w:ascii="Times New Roman;Times;serif" w:hAnsi="Times New Roman;Times;serif"/>
          <w:spacing w:val="4"/>
          <w:sz w:val="20"/>
        </w:rPr>
        <w:t>In the normal course of its on-going business operations, the Company encounters economic risk. There are three main components of economic risk: interest rate risk, credit risk and market risk. The Company is subject to interest rate risk to the degree that its interest-bearing liabilities mature or reprice at different points in time and potentially at different bases, than its interest-earning assets. Credit risk is the risk of default on the Company’s lending investments or leases that result from a borrower’s or tenant’s inability or unwillingness to make contractually required payments. Market risk reflects changes in the value of loans and other lending investments due to changes in interest rates or other market factors, including the rate of prepayments of principal and the value of the collateral underlying loans, the valuation of real estate assets by the Company as well as changes in foreign currency exchange rates.</w:t>
      </w:r>
    </w:p>
    <w:p>
      <w:pPr>
        <w:pStyle w:val="TextBody"/>
        <w:bidi w:val="0"/>
        <w:spacing w:before="0" w:after="0"/>
        <w:ind w:left="0" w:right="0" w:firstLine="400"/>
        <w:jc w:val="both"/>
        <w:rPr/>
      </w:pPr>
      <w:r>
        <w:rPr/>
        <w:t>​</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b/>
          <w:spacing w:val="-4"/>
          <w:sz w:val="20"/>
        </w:rPr>
        <w:t>Risk concentrations—</w:t>
      </w:r>
      <w:r>
        <w:rPr>
          <w:rFonts w:ascii="Times New Roman;Times;serif" w:hAnsi="Times New Roman;Times;serif"/>
          <w:spacing w:val="4"/>
          <w:sz w:val="20"/>
        </w:rPr>
        <w:t>Concentrations of credit risks arise when a number of borrowers, tenants or investees related to the Company’s investments are engaged in similar business activities, or activities in the same geographic region, or have similar economic features that would cause their ability to meet contractual obligations, including those to the Company, to be similarly affected by changes in economic conditions.</w:t>
      </w:r>
    </w:p>
    <w:p>
      <w:pPr>
        <w:pStyle w:val="TextBody"/>
        <w:bidi w:val="0"/>
        <w:spacing w:before="0" w:after="0"/>
        <w:ind w:left="0" w:right="0" w:firstLine="400"/>
        <w:jc w:val="both"/>
        <w:rPr/>
      </w:pPr>
      <w:r>
        <w:rPr/>
        <w:t>​</w:t>
      </w:r>
    </w:p>
    <w:p>
      <w:pPr>
        <w:pStyle w:val="TextBody"/>
        <w:bidi w:val="0"/>
        <w:spacing w:before="0" w:after="0"/>
        <w:ind w:left="0" w:right="0" w:firstLine="400"/>
        <w:jc w:val="both"/>
        <w:rPr>
          <w:rFonts w:ascii="Times New Roman;Times;serif" w:hAnsi="Times New Roman;Times;serif"/>
          <w:spacing w:val="4"/>
          <w:sz w:val="20"/>
        </w:rPr>
      </w:pPr>
      <w:r>
        <w:rPr>
          <w:rFonts w:ascii="Times New Roman;Times;serif" w:hAnsi="Times New Roman;Times;serif"/>
          <w:spacing w:val="4"/>
          <w:sz w:val="20"/>
        </w:rPr>
        <w:t>All of the Company’s real estate and assets collateralizing its loans receivable are located in the United States. As of June 30, 2026, the Company’s portfolio contains concentrations in the following property types: entertainment/leisure, land and development, hotel, retail and the Safe Shares.</w:t>
      </w:r>
    </w:p>
    <w:p>
      <w:pPr>
        <w:pStyle w:val="TextBody"/>
        <w:bidi w:val="0"/>
        <w:spacing w:before="0" w:after="0"/>
        <w:ind w:left="0" w:right="0" w:firstLine="400"/>
        <w:jc w:val="left"/>
        <w:rPr>
          <w:spacing w:val="4"/>
        </w:rPr>
      </w:pPr>
      <w:r>
        <w:rPr>
          <w:spacing w:val="4"/>
        </w:rPr>
        <w:t>​</w:t>
      </w:r>
    </w:p>
    <w:p>
      <w:pPr>
        <w:pStyle w:val="TextBody"/>
        <w:bidi w:val="0"/>
        <w:spacing w:before="0" w:after="0"/>
        <w:ind w:left="0" w:right="0" w:firstLine="403"/>
        <w:jc w:val="both"/>
        <w:rPr>
          <w:rFonts w:ascii="Times New Roman;Times;serif" w:hAnsi="Times New Roman;Times;serif"/>
          <w:spacing w:val="4"/>
          <w:sz w:val="20"/>
        </w:rPr>
      </w:pPr>
      <w:r>
        <w:rPr>
          <w:rFonts w:ascii="Times New Roman;Times;serif" w:hAnsi="Times New Roman;Times;serif"/>
          <w:spacing w:val="4"/>
          <w:sz w:val="20"/>
        </w:rPr>
        <w:t>The Company underwrites the credit of prospective borrowers and tenants and often requires them to provide some form of credit support such as corporate guarantees, letters of credit and/or cash security deposits. Although the Company’s loans and real estate assets are geographically diverse and the borrowers and tenants operate in a variety of industries, to the extent the Company has a significant concentration of interest or operating lease revenues from any single borrower or tenant, the inability of that borrower or tenant to make its payment could have a material adverse effect on the Company. In addition, declines in the market price of Safe common stock could require the Company to post additional collateral or prepay some or all of the outstanding borrowings under the Margin Loan Facility.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12—Equity</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b/>
          <w:spacing w:val="-4"/>
          <w:sz w:val="20"/>
        </w:rPr>
        <w:t>Common Stock—</w:t>
      </w:r>
      <w:r>
        <w:rPr>
          <w:rFonts w:ascii="Times New Roman;Times;serif" w:hAnsi="Times New Roman;Times;serif"/>
          <w:sz w:val="20"/>
        </w:rPr>
        <w:t xml:space="preserve">On March 31, 2023, in connection with the Spin-Off, </w:t>
      </w:r>
      <w:r>
        <w:rPr>
          <w:rFonts w:ascii="Times New Roman;Times;serif" w:hAnsi="Times New Roman;Times;serif"/>
          <w:sz w:val="20"/>
          <w:shd w:fill="FFFFFF" w:val="clear"/>
        </w:rPr>
        <w:t> iStar distributed 100% of the common shares of beneficial interest in the Company to holders of common stock of iStar ("iStar Common Stock") by way of a pro rata distribution of 0.153 common shares of the Company for each outstanding share of iStar Common Stock held on the record date of the distribution. </w:t>
      </w:r>
      <w:r>
        <w:rPr>
          <w:rFonts w:ascii="Times New Roman;Times;serif" w:hAnsi="Times New Roman;Times;serif"/>
          <w:sz w:val="20"/>
        </w:rPr>
        <w:t xml:space="preserve"> As of June 30, 2026, the Company has one class of common stock with 12,081,333 shares outstanding.</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b/>
          <w:sz w:val="20"/>
        </w:rPr>
        <w:t>Accumulated Other Comprehensive Income (Loss)</w:t>
      </w:r>
      <w:r>
        <w:rPr>
          <w:rFonts w:ascii="Times New Roman;Times;serif" w:hAnsi="Times New Roman;Times;serif"/>
          <w:sz w:val="20"/>
        </w:rPr>
        <w:t xml:space="preserve">— “Accumulated other comprehensive income (loss)” reflected in the Company’s shareholders’ equity is comprised of unrealized gains or losses on the Company’s available-for-sale securities. </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b/>
          <w:sz w:val="20"/>
        </w:rPr>
        <w:t>Share Repurchase Program</w:t>
      </w:r>
      <w:r>
        <w:rPr>
          <w:rFonts w:ascii="Times New Roman;Times;serif" w:hAnsi="Times New Roman;Times;serif"/>
          <w:sz w:val="20"/>
        </w:rPr>
        <w:t>—The Company initiated a share repurchase program in March 2025 that permitted the Company to repurchase up to $10.0 million of its common shares in open market purchases, privately negotiated transactions or otherwise, including pursuant to one or more trading plans. Any such purchases were subject to market and pricing conditions, applicable law and other factors deemed relevant in the Company's sole discretion. During the six months ended June 30, 2026, the Company repurchased 0.2 million shares of its outstanding common stock for $2.0 million, representing an average cost of $8.43 per share, including fees. As of June 30, 2026, the Company utilized the full authorization under this share repurchase program.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61" w:name="Tc_FPX88__Dy0OOuXI6Rix1Hg_11_11"/>
      <w:bookmarkStart w:id="962" w:name="Tc_8Pfn5GBC0Em_AgG0Vw-4jA_11_8"/>
      <w:bookmarkStart w:id="963" w:name="Tc_Gr54yDFbYE6u7hED10UToQ_11_5"/>
      <w:bookmarkStart w:id="964" w:name="Tc_aeE_9-OQmk2BpaEzbvG4eQ_11_2"/>
      <w:bookmarkStart w:id="965" w:name="Tc_jLFNoM1BoUOr2T__mvhiYQ_11_0"/>
      <w:bookmarkStart w:id="966" w:name="Tc_ZYo_V9HP9UysIyx7xBuH-w_10_0"/>
      <w:bookmarkStart w:id="967" w:name="Tc_qQHeZd8Xg0W8371FdbSsKg_8_0"/>
      <w:bookmarkStart w:id="968" w:name="Tc_xmN_FOoNZEeNN0V5tD48uw_7_0"/>
      <w:bookmarkStart w:id="969" w:name="Tc_3NfKd8j4MEqDBwDgbzc7-Q_5_11"/>
      <w:bookmarkStart w:id="970" w:name="Tc_98ug0SFAKkK0D0yYY3fi0g_5_8"/>
      <w:bookmarkStart w:id="971" w:name="Tc_2MYghpgFVEub_AJrzmDWIw_5_5"/>
      <w:bookmarkStart w:id="972" w:name="Tc_Ws6Pkk80Tku7q1alQh9xTw_5_2"/>
      <w:bookmarkStart w:id="973" w:name="Tc_OQIFGlcD1E23DqveMh-w9A_5_0"/>
      <w:bookmarkStart w:id="974" w:name="Tc_SQfGbL3w1kaNXWG3kdXD-g_4_0"/>
      <w:bookmarkStart w:id="975" w:name="Tc_5pnFJJOwP0Su1H9BDkvAGQ_3_0"/>
      <w:bookmarkStart w:id="976" w:name="Tc_E6L8ga3ppUqKs8y5IRkUSw_2_11"/>
      <w:bookmarkStart w:id="977" w:name="Tc_kU3d1qcKnE-dz9lmOdsfmw_2_8"/>
      <w:bookmarkStart w:id="978" w:name="Tc_VHi7al3gREmbq-EneTYjvg_2_5"/>
      <w:bookmarkStart w:id="979" w:name="Tc_CWEIpC6pk0ugj3s2VciHSw_2_2"/>
      <w:bookmarkStart w:id="980" w:name="Tc_50hQokij9UWQLpG1he8Kpg_1_8"/>
      <w:bookmarkStart w:id="981" w:name="Tc_dOvxQmU18kmBWC4Fr1LNAg_1_2"/>
      <w:bookmarkStart w:id="982" w:name="_183f6a03_3bea_433a_a667_49d4487ae042"/>
      <w:bookmarkStart w:id="983" w:name="Tc_a6WAWzZou0ibu5dVbqoO3w_5_11"/>
      <w:bookmarkStart w:id="984" w:name="Tc_05_24hL7S0KTCIoYeNylgg_5_8"/>
      <w:bookmarkStart w:id="985" w:name="Tc_or1aqA4npUSNOFhrIGDOog_5_5"/>
      <w:bookmarkStart w:id="986" w:name="Tc_agPvDpvEbECqsOJ_kswCtw_5_2"/>
      <w:bookmarkStart w:id="987" w:name="Tc_QrAZco6B0UOu3_fuKF3b6Q_5_0"/>
      <w:bookmarkStart w:id="988" w:name="Tc_72hU08Qc10iLFz3hmYyB-w_4_0"/>
      <w:bookmarkStart w:id="989" w:name="Tc_azvYyahXXkO_VJUjwb7LMQ_3_11"/>
      <w:bookmarkStart w:id="990" w:name="Tc_y-IuHuqALUGbqyloRBP2sA_3_8"/>
      <w:bookmarkStart w:id="991" w:name="Tc_raAZutp2okK61IsBYMaQqQ_3_5"/>
      <w:bookmarkStart w:id="992" w:name="Tc_hfM9srgHoECnAxBXx3uYaA_3_2"/>
      <w:bookmarkStart w:id="993" w:name="Tc_sCDJUR5efE2v9COG-7--ww_3_0"/>
      <w:bookmarkStart w:id="994" w:name="Tc_livQFc271UKPVH75xSYMhw_2_11"/>
      <w:bookmarkStart w:id="995" w:name="Tc_2gl2dQ2wa0eLnkl2lPGrnA_2_8"/>
      <w:bookmarkStart w:id="996" w:name="Tc_ZeNPmyxA3UGukgBACLbxuw_2_5"/>
      <w:bookmarkStart w:id="997" w:name="Tc_cH3BzmSxK0-6NSYoAgkpig_2_2"/>
      <w:bookmarkStart w:id="998" w:name="Tc_jI59V7LJaUmDcR8UzkSfjw_1_8"/>
      <w:bookmarkStart w:id="999" w:name="Tc_NleWs7U26UqVZlAP4-4RkA_1_2"/>
      <w:bookmarkStart w:id="1000" w:name="_ff44f159_2079_488b_b258_8a904cb4060f"/>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r>
        <w:rPr>
          <w:rFonts w:ascii="Times New Roman;Times;serif" w:hAnsi="Times New Roman;Times;serif"/>
          <w:b/>
          <w:sz w:val="20"/>
        </w:rPr>
        <w:t>Note 13—Earnings Per Share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following table presents a reconciliation of income from operations used in the basic and diluted earnings per share (“EPS”) calculations ($ in thousands, except for per share data): </w:t>
      </w:r>
    </w:p>
    <w:tbl>
      <w:tblPr>
        <w:tblW w:w="10205" w:type="dxa"/>
        <w:jc w:val="left"/>
        <w:tblInd w:w="0" w:type="dxa"/>
        <w:tblLayout w:type="fixed"/>
        <w:tblCellMar>
          <w:top w:w="0" w:type="dxa"/>
          <w:left w:w="0" w:type="dxa"/>
          <w:bottom w:w="0" w:type="dxa"/>
          <w:right w:w="0" w:type="dxa"/>
        </w:tblCellMar>
      </w:tblPr>
      <w:tblGrid>
        <w:gridCol w:w="4327"/>
        <w:gridCol w:w="346"/>
        <w:gridCol w:w="249"/>
        <w:gridCol w:w="800"/>
        <w:gridCol w:w="410"/>
        <w:gridCol w:w="249"/>
        <w:gridCol w:w="921"/>
        <w:gridCol w:w="346"/>
        <w:gridCol w:w="237"/>
        <w:gridCol w:w="762"/>
        <w:gridCol w:w="389"/>
        <w:gridCol w:w="237"/>
        <w:gridCol w:w="932"/>
      </w:tblGrid>
      <w:tr>
        <w:trPr/>
        <w:tc>
          <w:tcPr>
            <w:tcW w:w="4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747645" cy="175260"/>
                      <wp:effectExtent l="0" t="0" r="0" b="0"/>
                      <wp:wrapNone/>
                      <wp:docPr id="201" name="Frame201"/>
                      <a:graphic xmlns:a="http://schemas.openxmlformats.org/drawingml/2006/main">
                        <a:graphicData uri="http://schemas.microsoft.com/office/word/2010/wordprocessingShape">
                          <wps:wsp>
                            <wps:cNvSpPr txBox="1"/>
                            <wps:spPr>
                              <a:xfrm>
                                <a:off x="0" y="0"/>
                                <a:ext cx="274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58115" cy="175260"/>
                      <wp:effectExtent l="0" t="0" r="0" b="0"/>
                      <wp:wrapNone/>
                      <wp:docPr id="203" name="Frame203"/>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08000" cy="175260"/>
                      <wp:effectExtent l="0" t="0" r="0" b="0"/>
                      <wp:wrapNone/>
                      <wp:docPr id="204" name="Frame204"/>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60350" cy="175260"/>
                      <wp:effectExtent l="0" t="0" r="0" b="0"/>
                      <wp:wrapNone/>
                      <wp:docPr id="205" name="Frame205"/>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58115" cy="175260"/>
                      <wp:effectExtent l="0" t="0" r="0" b="0"/>
                      <wp:wrapNone/>
                      <wp:docPr id="206" name="Frame206"/>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84835" cy="175260"/>
                      <wp:effectExtent l="0" t="0" r="0" b="0"/>
                      <wp:wrapNone/>
                      <wp:docPr id="207" name="Frame207"/>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50495" cy="175260"/>
                      <wp:effectExtent l="0" t="0" r="0" b="0"/>
                      <wp:wrapNone/>
                      <wp:docPr id="209" name="Frame209"/>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83870" cy="175260"/>
                      <wp:effectExtent l="0" t="0" r="0" b="0"/>
                      <wp:wrapNone/>
                      <wp:docPr id="210" name="Frame210"/>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47015" cy="175260"/>
                      <wp:effectExtent l="0" t="0" r="0" b="0"/>
                      <wp:wrapNone/>
                      <wp:docPr id="211" name="Frame211"/>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50495" cy="175260"/>
                      <wp:effectExtent l="0" t="0" r="0" b="0"/>
                      <wp:wrapNone/>
                      <wp:docPr id="212" name="Frame212"/>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91820" cy="175260"/>
                      <wp:effectExtent l="0" t="0" r="0" b="0"/>
                      <wp:wrapNone/>
                      <wp:docPr id="213" name="Frame213"/>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46" w:type="dxa"/>
            <w:tcBorders/>
            <w:vAlign w:val="center"/>
          </w:tcPr>
          <w:p>
            <w:pPr>
              <w:pStyle w:val="TableContents"/>
              <w:bidi w:val="0"/>
              <w:spacing w:before="0" w:after="0"/>
              <w:ind w:left="0" w:right="0" w:hanging="0"/>
              <w:jc w:val="left"/>
              <w:rPr/>
            </w:pPr>
            <w:r>
              <w:rPr/>
              <w:t>​</w:t>
            </w:r>
          </w:p>
        </w:tc>
        <w:tc>
          <w:tcPr>
            <w:tcW w:w="255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43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0" w:type="dxa"/>
            <w:tcBorders/>
            <w:vAlign w:val="center"/>
          </w:tcPr>
          <w:p>
            <w:pPr>
              <w:pStyle w:val="TableContents"/>
              <w:bidi w:val="0"/>
              <w:spacing w:before="0" w:after="0"/>
              <w:ind w:left="0" w:right="0" w:hanging="0"/>
              <w:jc w:val="center"/>
              <w:rPr/>
            </w:pPr>
            <w:r>
              <w:rPr/>
              <w:t>  ​ ​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9" w:type="dxa"/>
            <w:tcBorders/>
            <w:vAlign w:val="center"/>
          </w:tcPr>
          <w:p>
            <w:pPr>
              <w:pStyle w:val="TableContents"/>
              <w:bidi w:val="0"/>
              <w:spacing w:before="0" w:after="0"/>
              <w:ind w:left="0" w:right="0" w:hanging="0"/>
              <w:jc w:val="center"/>
              <w:rPr/>
            </w:pPr>
            <w:r>
              <w:rPr/>
              <w:t>  ​ ​ ​</w:t>
            </w:r>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41,460</w:t>
            </w:r>
          </w:p>
        </w:tc>
        <w:tc>
          <w:tcPr>
            <w:tcW w:w="410"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(39,721)</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27,002</w:t>
            </w:r>
          </w:p>
        </w:tc>
        <w:tc>
          <w:tcPr>
            <w:tcW w:w="38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(47,767)</w:t>
            </w:r>
          </w:p>
        </w:tc>
      </w:tr>
      <w:tr>
        <w:trPr/>
        <w:tc>
          <w:tcPr>
            <w:tcW w:w="43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from operations attributable to noncontrolling interests</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10"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4,189</w:t>
            </w:r>
          </w:p>
        </w:tc>
        <w:tc>
          <w:tcPr>
            <w:tcW w:w="38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w:t>
            </w:r>
          </w:p>
        </w:tc>
      </w:tr>
      <w:tr>
        <w:trPr/>
        <w:tc>
          <w:tcPr>
            <w:tcW w:w="4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allocable to common shareholders</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41,448</w:t>
            </w:r>
          </w:p>
        </w:tc>
        <w:tc>
          <w:tcPr>
            <w:tcW w:w="410"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(39,308)</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31,191</w:t>
            </w:r>
          </w:p>
        </w:tc>
        <w:tc>
          <w:tcPr>
            <w:tcW w:w="389"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(46,912)</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498"/>
        <w:gridCol w:w="346"/>
        <w:gridCol w:w="241"/>
        <w:gridCol w:w="773"/>
        <w:gridCol w:w="396"/>
        <w:gridCol w:w="241"/>
        <w:gridCol w:w="881"/>
        <w:gridCol w:w="346"/>
        <w:gridCol w:w="231"/>
        <w:gridCol w:w="743"/>
        <w:gridCol w:w="380"/>
        <w:gridCol w:w="231"/>
        <w:gridCol w:w="898"/>
      </w:tblGrid>
      <w:tr>
        <w:trPr/>
        <w:tc>
          <w:tcPr>
            <w:tcW w:w="4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856230" cy="175260"/>
                      <wp:effectExtent l="0" t="0" r="0" b="0"/>
                      <wp:wrapNone/>
                      <wp:docPr id="214" name="Frame214"/>
                      <a:graphic xmlns:a="http://schemas.openxmlformats.org/drawingml/2006/main">
                        <a:graphicData uri="http://schemas.microsoft.com/office/word/2010/wordprocessingShape">
                          <wps:wsp>
                            <wps:cNvSpPr txBox="1"/>
                            <wps:spPr>
                              <a:xfrm>
                                <a:off x="0" y="0"/>
                                <a:ext cx="2856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53035" cy="175260"/>
                      <wp:effectExtent l="0" t="0" r="0" b="0"/>
                      <wp:wrapNone/>
                      <wp:docPr id="216" name="Frame216"/>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90855" cy="175260"/>
                      <wp:effectExtent l="0" t="0" r="0" b="0"/>
                      <wp:wrapNone/>
                      <wp:docPr id="217" name="Frame217"/>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51460" cy="175260"/>
                      <wp:effectExtent l="0" t="0" r="0" b="0"/>
                      <wp:wrapNone/>
                      <wp:docPr id="218" name="Frame218"/>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53035" cy="175260"/>
                      <wp:effectExtent l="0" t="0" r="0" b="0"/>
                      <wp:wrapNone/>
                      <wp:docPr id="219" name="Frame219"/>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59435" cy="175260"/>
                      <wp:effectExtent l="0" t="0" r="0" b="0"/>
                      <wp:wrapNone/>
                      <wp:docPr id="220" name="Frame220"/>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46685" cy="175260"/>
                      <wp:effectExtent l="0" t="0" r="0" b="0"/>
                      <wp:wrapNone/>
                      <wp:docPr id="222" name="Frame222"/>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71805" cy="175260"/>
                      <wp:effectExtent l="0" t="0" r="0" b="0"/>
                      <wp:wrapNone/>
                      <wp:docPr id="223" name="Frame223"/>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41300" cy="175260"/>
                      <wp:effectExtent l="0" t="0" r="0" b="0"/>
                      <wp:wrapNone/>
                      <wp:docPr id="224" name="Frame224"/>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46685" cy="175260"/>
                      <wp:effectExtent l="0" t="0" r="0" b="0"/>
                      <wp:wrapNone/>
                      <wp:docPr id="225" name="Frame225"/>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70230" cy="175260"/>
                      <wp:effectExtent l="0" t="0" r="0" b="0"/>
                      <wp:wrapNone/>
                      <wp:docPr id="226" name="Frame226"/>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3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46" w:type="dxa"/>
            <w:tcBorders/>
            <w:vAlign w:val="center"/>
          </w:tcPr>
          <w:p>
            <w:pPr>
              <w:pStyle w:val="TableContents"/>
              <w:bidi w:val="0"/>
              <w:spacing w:before="0" w:after="0"/>
              <w:ind w:left="0" w:right="0" w:hanging="0"/>
              <w:jc w:val="left"/>
              <w:rPr/>
            </w:pPr>
            <w:r>
              <w:rPr/>
              <w:t>​</w:t>
            </w:r>
          </w:p>
        </w:tc>
        <w:tc>
          <w:tcPr>
            <w:tcW w:w="24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44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6" w:type="dxa"/>
            <w:tcBorders/>
            <w:vAlign w:val="center"/>
          </w:tcPr>
          <w:p>
            <w:pPr>
              <w:pStyle w:val="TableContents"/>
              <w:bidi w:val="0"/>
              <w:spacing w:before="0" w:after="0"/>
              <w:ind w:left="0" w:right="0" w:hanging="0"/>
              <w:jc w:val="left"/>
              <w:rPr/>
            </w:pPr>
            <w:r>
              <w:rPr/>
              <w:t>  ​ ​ ​</w:t>
            </w:r>
          </w:p>
        </w:tc>
        <w:tc>
          <w:tcPr>
            <w:tcW w:w="11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0" w:type="dxa"/>
            <w:tcBorders/>
            <w:vAlign w:val="center"/>
          </w:tcPr>
          <w:p>
            <w:pPr>
              <w:pStyle w:val="TableContents"/>
              <w:bidi w:val="0"/>
              <w:spacing w:before="0" w:after="0"/>
              <w:ind w:left="0" w:right="0" w:hanging="0"/>
              <w:jc w:val="left"/>
              <w:rPr/>
            </w:pPr>
            <w:r>
              <w:rPr/>
              <w:t>  ​ ​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49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allocable to common shares:</w:t>
            </w:r>
          </w:p>
        </w:tc>
        <w:tc>
          <w:tcPr>
            <w:tcW w:w="346"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pPr>
            <w:r>
              <w:rPr/>
              <w:t>  ​</w:t>
            </w:r>
          </w:p>
        </w:tc>
        <w:tc>
          <w:tcPr>
            <w:tcW w:w="396"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  ​</w:t>
            </w:r>
          </w:p>
        </w:tc>
        <w:tc>
          <w:tcPr>
            <w:tcW w:w="380"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  ​</w:t>
            </w:r>
          </w:p>
        </w:tc>
      </w:tr>
      <w:tr>
        <w:trPr/>
        <w:tc>
          <w:tcPr>
            <w:tcW w:w="4498"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Numerator for basic and diluted earnings per share:</w:t>
            </w:r>
          </w:p>
        </w:tc>
        <w:tc>
          <w:tcPr>
            <w:tcW w:w="346" w:type="dxa"/>
            <w:tcBorders/>
            <w:vAlign w:val="center"/>
          </w:tcPr>
          <w:p>
            <w:pPr>
              <w:pStyle w:val="TableContents"/>
              <w:bidi w:val="0"/>
              <w:spacing w:before="0" w:after="0"/>
              <w:ind w:left="0" w:right="0" w:hanging="0"/>
              <w:jc w:val="left"/>
              <w:rPr/>
            </w:pPr>
            <w:r>
              <w:rPr/>
              <w:t> </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396" w:type="dxa"/>
            <w:tcBorders/>
            <w:vAlign w:val="center"/>
          </w:tcPr>
          <w:p>
            <w:pPr>
              <w:pStyle w:val="TableContents"/>
              <w:bidi w:val="0"/>
              <w:spacing w:before="0" w:after="0"/>
              <w:ind w:left="0" w:right="0" w:hanging="0"/>
              <w:jc w:val="left"/>
              <w:rPr/>
            </w:pPr>
            <w:r>
              <w:rPr/>
              <w:t> </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380" w:type="dxa"/>
            <w:tcBorders/>
            <w:vAlign w:val="center"/>
          </w:tcPr>
          <w:p>
            <w:pPr>
              <w:pStyle w:val="TableContents"/>
              <w:bidi w:val="0"/>
              <w:spacing w:before="0" w:after="0"/>
              <w:ind w:left="0" w:right="0" w:hanging="0"/>
              <w:jc w:val="left"/>
              <w:rPr/>
            </w:pPr>
            <w:r>
              <w:rPr/>
              <w:t> </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r>
      <w:tr>
        <w:trPr/>
        <w:tc>
          <w:tcPr>
            <w:tcW w:w="44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allocable to common shareholders</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41,448</w:t>
            </w:r>
          </w:p>
        </w:tc>
        <w:tc>
          <w:tcPr>
            <w:tcW w:w="396"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(39,308)</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31,191</w:t>
            </w:r>
          </w:p>
        </w:tc>
        <w:tc>
          <w:tcPr>
            <w:tcW w:w="380"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(46,912)</w:t>
            </w:r>
          </w:p>
        </w:tc>
      </w:tr>
      <w:tr>
        <w:trPr/>
        <w:tc>
          <w:tcPr>
            <w:tcW w:w="44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left"/>
              <w:rPr/>
            </w:pPr>
            <w:r>
              <w:rPr/>
              <w:t>​</w:t>
            </w:r>
          </w:p>
        </w:tc>
      </w:tr>
      <w:tr>
        <w:trPr/>
        <w:tc>
          <w:tcPr>
            <w:tcW w:w="4498"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Denominator for basic and diluted 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39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380"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44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for basic and diluted earnings per common share</w:t>
            </w:r>
          </w:p>
        </w:tc>
        <w:tc>
          <w:tcPr>
            <w:tcW w:w="346"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12,081</w:t>
            </w:r>
          </w:p>
        </w:tc>
        <w:tc>
          <w:tcPr>
            <w:tcW w:w="396"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13,311</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12,106</w:t>
            </w:r>
          </w:p>
        </w:tc>
        <w:tc>
          <w:tcPr>
            <w:tcW w:w="380"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13,315</w:t>
            </w:r>
          </w:p>
        </w:tc>
      </w:tr>
      <w:tr>
        <w:trPr/>
        <w:tc>
          <w:tcPr>
            <w:tcW w:w="449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left"/>
              <w:rPr/>
            </w:pPr>
            <w:r>
              <w:rPr/>
              <w:t>​</w:t>
            </w:r>
          </w:p>
        </w:tc>
      </w:tr>
      <w:tr>
        <w:trPr/>
        <w:tc>
          <w:tcPr>
            <w:tcW w:w="449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and diluted earnings per common share:</w:t>
            </w:r>
          </w:p>
        </w:tc>
        <w:tc>
          <w:tcPr>
            <w:tcW w:w="34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39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380"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r>
      <w:tr>
        <w:trPr/>
        <w:tc>
          <w:tcPr>
            <w:tcW w:w="44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allocable to common shareholders</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396"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80"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r>
    </w:tbl>
    <w:p>
      <w:pPr>
        <w:pStyle w:val="TextBody"/>
        <w:bidi w:val="0"/>
        <w:spacing w:before="0" w:after="0"/>
        <w:ind w:left="360" w:right="0" w:hanging="0"/>
        <w:jc w:val="both"/>
        <w:rPr/>
      </w:pPr>
      <w:r>
        <w:rPr/>
        <w:t>​</w:t>
      </w:r>
    </w:p>
    <w:p>
      <w:pPr>
        <w:pStyle w:val="TextBody"/>
        <w:bidi w:val="0"/>
        <w:spacing w:before="0" w:after="0"/>
        <w:ind w:left="360" w:right="0" w:hanging="0"/>
        <w:jc w:val="both"/>
        <w:rPr/>
      </w:pPr>
      <w:r>
        <w:rPr/>
        <w:t>​</w:t>
      </w:r>
    </w:p>
    <w:p>
      <w:pPr>
        <w:pStyle w:val="TextBody"/>
        <w:bidi w:val="0"/>
        <w:spacing w:before="0" w:after="0"/>
        <w:ind w:left="360" w:right="0" w:hanging="0"/>
        <w:jc w:val="both"/>
        <w:rPr/>
      </w:pPr>
      <w:r>
        <w:rPr/>
        <w:t>​</w:t>
      </w:r>
    </w:p>
    <w:p>
      <w:pPr>
        <w:pStyle w:val="TextBody"/>
        <w:bidi w:val="0"/>
        <w:spacing w:before="0" w:after="0"/>
        <w:ind w:left="36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14—Fair Values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Fair value represents the price that would be received to sell an asset or paid to transfer a liability in an orderly transaction between market participants at the measurement date. The following fair value hierarchy prioritizes the inputs to be used in valuation techniques to measure fair value: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Level 1:  Unadjusted quoted prices in active markets that are accessible at the measurement date for identical, unrestricted assets or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Level 2:    Quoted prices in markets that are not active, or inputs which are observable, either directly or indirectly, for substantially the full term of the asset or liability; and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Level 3:    Prices or valuation techniques that require inputs that are both significant to the fair value measurement and unobservable (i.e., supported by little or no market activity).</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Certain of the Company’s assets and liabilities are recorded at fair value either on a recurring or non-recurring basis. Assets required to be marked-to-market and reported at fair value every reporting period are classified as being valued on a recurring basis. Assets not required to be recorded at fair value every period may be recorded at fair value if a specific provision or other impairment is recorded within the period to mark the carrying value of the asset to market as of the reporting date. Such assets are classified as being valued on a non-recurring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bidi w:val="0"/>
        <w:spacing w:before="0" w:after="120"/>
        <w:ind w:left="0" w:right="0" w:firstLine="360"/>
        <w:jc w:val="both"/>
        <w:rPr>
          <w:rFonts w:ascii="Times New Roman;Times;serif" w:hAnsi="Times New Roman;Times;serif"/>
          <w:sz w:val="20"/>
        </w:rPr>
      </w:pPr>
      <w:bookmarkStart w:id="1001" w:name="Tc_MwPxsLDgZESHTd0HnxIJ0g_10_0"/>
      <w:bookmarkStart w:id="1002" w:name="Tc_QQHgHk4TL0apoxZJtzCXRA_9_0"/>
      <w:bookmarkStart w:id="1003" w:name="Tc_S81dF6Iim0Sozu6LBka6Fg_7_0"/>
      <w:bookmarkStart w:id="1004" w:name="Tc_pMoexmSnLU-s604EUKwDwg_6_0"/>
      <w:bookmarkStart w:id="1005" w:name="Tc_NoSa4diYj0ynbvbgi4AWNg_5_11"/>
      <w:bookmarkStart w:id="1006" w:name="Tc_eHyATYouYU-gN74aWGOoSw_5_8"/>
      <w:bookmarkStart w:id="1007" w:name="Tc_D2GIu6v4h0iHAuUOE83ikw_5_5"/>
      <w:bookmarkStart w:id="1008" w:name="Tc_g8C1mMI1D0iB186ewTzabQ_5_2"/>
      <w:bookmarkStart w:id="1009" w:name="Tc_S-9jyh0mAEuO5-yui8rpMw_5_0"/>
      <w:bookmarkStart w:id="1010" w:name="Tc_cDlkxxY2H0GpbhDszMF6-A_4_0"/>
      <w:bookmarkStart w:id="1011" w:name="Tc_EDU8urzT5EKzEdqMgTtyvw_3_11"/>
      <w:bookmarkStart w:id="1012" w:name="Tc_H0SuzYLCo02WSdLrmKt7MA_3_8"/>
      <w:bookmarkStart w:id="1013" w:name="Tc_YYLZt8oPC0m_372Lsu39cA_3_5"/>
      <w:bookmarkStart w:id="1014" w:name="Tc_dDLEW_ijO0GDtjyHJIeCnQ_3_2"/>
      <w:bookmarkStart w:id="1015" w:name="Tc_Sjx2T-1G_0exwx4Y3fLACQ_2_11"/>
      <w:bookmarkStart w:id="1016" w:name="Tc_YfobNdIZbkmgdxU7fjnh4w_2_8"/>
      <w:bookmarkStart w:id="1017" w:name="Tc_iftnVNdkQUa_umOJ9FoH3A_2_5"/>
      <w:bookmarkStart w:id="1018" w:name="Tc_o4NyG_xY60KlaLLxyWcwuA_2_2"/>
      <w:bookmarkStart w:id="1019" w:name="Tc_UZQx2EQw60iP6UxkL0Al0w_1_8"/>
      <w:bookmarkStart w:id="1020" w:name="Tc_Bk_3TzcK8kWMnEbxDLce_A_1_2"/>
      <w:bookmarkStart w:id="1021" w:name="_e0f830be_48a1_4b47_97c5_4b171265ebf5"/>
      <w:bookmarkStart w:id="1022" w:name="Tc_4WJs09-6N02djEvOGZ-Aqg_7_5"/>
      <w:bookmarkStart w:id="1023" w:name="Tc_R9pu7QLHf0qgGt5CvN2KMw_7_2"/>
      <w:bookmarkStart w:id="1024" w:name="Tc_NlTfZSsMXUW4EGhI0f8-Lw_7_0"/>
      <w:bookmarkStart w:id="1025" w:name="Tc_QL-Y6iHPQEGv_G2koWcyGw_6_0"/>
      <w:bookmarkStart w:id="1026" w:name="Tc_AC23OlvosUmeX7RqQIfB8w_5_6"/>
      <w:bookmarkStart w:id="1027" w:name="Tc_s-vQBEntF0iLP7ybufg-xA_5_0"/>
      <w:bookmarkStart w:id="1028" w:name="Tc_ABI6m1t6YU2f5sJUdWoLjQ_4_0"/>
      <w:bookmarkStart w:id="1029" w:name="Tc_C02TODpOkUaoGBKMsAsHhg_3_5"/>
      <w:bookmarkStart w:id="1030" w:name="Tc_kBpqgoBrnUCePLqlOKHrGA_3_2"/>
      <w:bookmarkStart w:id="1031" w:name="Tc_WO_jBPTjDEiPoSOBCyBWug_3_0"/>
      <w:bookmarkStart w:id="1032" w:name="Tc_Kk4zj_lme0uios_eH41wzA_2_5"/>
      <w:bookmarkStart w:id="1033" w:name="Tc_2p4iXpRpiUCd6gRy7P9lpg_2_2"/>
      <w:bookmarkStart w:id="1034" w:name="Tc_mGhd82jAD0uAsOM23EvM3g_1_2"/>
      <w:bookmarkStart w:id="1035" w:name="_c96297db_d1fa_4ff3_8a10_abc23eee1896"/>
      <w:bookmarkStart w:id="1036" w:name="Tc_6qkKEfj82kaSy1VCSkOwuw_14_12"/>
      <w:bookmarkStart w:id="1037" w:name="Tc_QaRW4iTSBUCYi_Y0MpVqUQ_14_9"/>
      <w:bookmarkStart w:id="1038" w:name="Tc_E7xwoyHXSkychJ9wKcVSXw_14_0"/>
      <w:bookmarkStart w:id="1039" w:name="Tc_u_Z-8bHD10SfcaBUiSMWKw_13_11"/>
      <w:bookmarkStart w:id="1040" w:name="Tc_G6ceb7miHE22lu3rcQ-wmA_13_9"/>
      <w:bookmarkStart w:id="1041" w:name="Tc_cKsmvDCJf06cKgJN-ximhg_13_8"/>
      <w:bookmarkStart w:id="1042" w:name="Tc_XxSqJ63240m-OqpKGHOhJw_13_6"/>
      <w:bookmarkStart w:id="1043" w:name="Tc_pEIJvoLew0mRcSuswfY43Q_13_5"/>
      <w:bookmarkStart w:id="1044" w:name="Tc_4SH2BxwBMEuE6f3h3-otYQ_13_2"/>
      <w:bookmarkStart w:id="1045" w:name="Tc_NC_3F4nRRUCTGu1djW3laQ_13_0"/>
      <w:bookmarkStart w:id="1046" w:name="Tc_W4qb8QnpyUu5JBix_MG28A_12_0"/>
      <w:bookmarkStart w:id="1047" w:name="Tc__B408CXyUUCj03vjQqVVyw_10_12"/>
      <w:bookmarkStart w:id="1048" w:name="Tc_ZgdkD5q3FUuBoRw_cHnfxA_10_9"/>
      <w:bookmarkStart w:id="1049" w:name="Tc_GMD0J_IUCkSAKfq_ZTjWBw_10_0"/>
      <w:bookmarkStart w:id="1050" w:name="Tc_vyUIIxYVuUWAdZHjKq_09g_9_11"/>
      <w:bookmarkStart w:id="1051" w:name="Tc_ssKcK05KzEq7FMuuwwJSMQ_9_9"/>
      <w:bookmarkStart w:id="1052" w:name="Tc_1mtzOVmusUKxNYlWEmJv4A_9_8"/>
      <w:bookmarkStart w:id="1053" w:name="Tc_SZ3dJAbHdUmKhxiERr5M4w_9_6"/>
      <w:bookmarkStart w:id="1054" w:name="Tc_0_si5jVZqE-Psxk4ETvFXA_9_5"/>
      <w:bookmarkStart w:id="1055" w:name="Tc_CM5_q_5GZE-HoGEcjwq92A_9_2"/>
      <w:bookmarkStart w:id="1056" w:name="Tc_nq6rvOTedUyqoE75eXxgvQ_9_0"/>
      <w:bookmarkStart w:id="1057" w:name="Tc_gJSXzEL8i0Gsd9PijuHFaA_8_0"/>
      <w:bookmarkStart w:id="1058" w:name="Tc_K5SqVRMYKUyiOfpdO-Ke9g_7_11"/>
      <w:bookmarkStart w:id="1059" w:name="Tc_1sTAxVpymky51WU2mWmySg_7_8"/>
      <w:bookmarkStart w:id="1060" w:name="Tc_ltghkr_uykWQ4qW1RIN4_w_7_5"/>
      <w:bookmarkStart w:id="1061" w:name="Tc_0FYegtpVWk63SBR2c_um2w_7_2"/>
      <w:bookmarkStart w:id="1062" w:name="Tc_aacuAYMOr0SrevU8giKZSQ_6_11"/>
      <w:bookmarkStart w:id="1063" w:name="Tc_LMwkBY1t3k6yfshjQkNDag_6_8"/>
      <w:bookmarkStart w:id="1064" w:name="Tc_M9JpKM8DRkKN_mGIbCAUEw_6_5"/>
      <w:bookmarkStart w:id="1065" w:name="Tc_yWzlSTVJT02LNL4VCaN_Ig_5_11"/>
      <w:bookmarkStart w:id="1066" w:name="Tc_nvUzdlaG60mxyZHvkCZYpg_5_8"/>
      <w:bookmarkStart w:id="1067" w:name="Tc_z613b3wrikitBJoMQyqAkg_5_5"/>
      <w:bookmarkStart w:id="1068" w:name="Tc_MXN6hZYVJ0i9KQ1oux2KWg_4_11"/>
      <w:bookmarkStart w:id="1069" w:name="Tc_QDnOWvfUR0GE1GBIMP8evQ_4_8"/>
      <w:bookmarkStart w:id="1070" w:name="Tc_OioFLh09aEOrgz4ZdrMpWA_4_5"/>
      <w:bookmarkStart w:id="1071" w:name="Tc_67A8KUoWeUi3d6F1uS7oYQ_3_8"/>
      <w:bookmarkStart w:id="1072" w:name="Tc_-PudzUGUyEOR2cH3KBHn8Q_3_5"/>
      <w:bookmarkStart w:id="1073" w:name="Tc_jHRcK_ejSE-TX5T9JpgjXg_2_5"/>
      <w:bookmarkStart w:id="1074" w:name="Tc_iAxLdlCNOEyOLTMWh3qO-A_1_2"/>
      <w:bookmarkStart w:id="1075" w:name="_0ac9b1e5_9a81_49e9_8fb6_9a20ef77a1fd"/>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r>
        <w:rPr>
          <w:rFonts w:ascii="Times New Roman;Times;serif" w:hAnsi="Times New Roman;Times;serif"/>
          <w:sz w:val="20"/>
        </w:rPr>
        <w:t>The following fair value hierarchy table summarizes the Company’s assets recorded at fair value on a recurring basis by the above categories as of June 30, 2026 and December 31, 2025 ($ in thousands):</w:t>
      </w:r>
    </w:p>
    <w:tbl>
      <w:tblPr>
        <w:tblW w:w="8034" w:type="dxa"/>
        <w:jc w:val="left"/>
        <w:tblInd w:w="0" w:type="dxa"/>
        <w:tblLayout w:type="fixed"/>
        <w:tblCellMar>
          <w:top w:w="0" w:type="dxa"/>
          <w:left w:w="0" w:type="dxa"/>
          <w:bottom w:w="0" w:type="dxa"/>
          <w:right w:w="0" w:type="dxa"/>
        </w:tblCellMar>
      </w:tblPr>
      <w:tblGrid>
        <w:gridCol w:w="2611"/>
        <w:gridCol w:w="346"/>
        <w:gridCol w:w="226"/>
        <w:gridCol w:w="691"/>
        <w:gridCol w:w="346"/>
        <w:gridCol w:w="233"/>
        <w:gridCol w:w="712"/>
        <w:gridCol w:w="346"/>
        <w:gridCol w:w="390"/>
        <w:gridCol w:w="601"/>
        <w:gridCol w:w="346"/>
        <w:gridCol w:w="306"/>
        <w:gridCol w:w="880"/>
      </w:tblGrid>
      <w:tr>
        <w:trPr/>
        <w:tc>
          <w:tcPr>
            <w:tcW w:w="2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657985" cy="175260"/>
                      <wp:effectExtent l="0" t="0" r="0" b="0"/>
                      <wp:wrapNone/>
                      <wp:docPr id="227" name="Frame227"/>
                      <a:graphic xmlns:a="http://schemas.openxmlformats.org/drawingml/2006/main">
                        <a:graphicData uri="http://schemas.microsoft.com/office/word/2010/wordprocessingShape">
                          <wps:wsp>
                            <wps:cNvSpPr txBox="1"/>
                            <wps:spPr>
                              <a:xfrm>
                                <a:off x="0" y="0"/>
                                <a:ext cx="1657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43510" cy="175260"/>
                      <wp:effectExtent l="0" t="0" r="0" b="0"/>
                      <wp:wrapNone/>
                      <wp:docPr id="229" name="Frame22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38785" cy="175260"/>
                      <wp:effectExtent l="0" t="0" r="0" b="0"/>
                      <wp:wrapNone/>
                      <wp:docPr id="230" name="Frame23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47955" cy="175260"/>
                      <wp:effectExtent l="0" t="0" r="0" b="0"/>
                      <wp:wrapNone/>
                      <wp:docPr id="232" name="Frame23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52120" cy="175260"/>
                      <wp:effectExtent l="0" t="0" r="0" b="0"/>
                      <wp:wrapNone/>
                      <wp:docPr id="233" name="Frame233"/>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47650" cy="175260"/>
                      <wp:effectExtent l="0" t="0" r="0" b="0"/>
                      <wp:wrapNone/>
                      <wp:docPr id="235" name="Frame235"/>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381635" cy="175260"/>
                      <wp:effectExtent l="0" t="0" r="0" b="0"/>
                      <wp:wrapNone/>
                      <wp:docPr id="236" name="Frame23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94310" cy="175260"/>
                      <wp:effectExtent l="0" t="0" r="0" b="0"/>
                      <wp:wrapNone/>
                      <wp:docPr id="238" name="Frame238"/>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58800" cy="175260"/>
                      <wp:effectExtent l="0" t="0" r="0" b="0"/>
                      <wp:wrapNone/>
                      <wp:docPr id="239" name="Frame239"/>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07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 Using</w: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4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Quoted </w:t>
            </w:r>
          </w:p>
        </w:tc>
        <w:tc>
          <w:tcPr>
            <w:tcW w:w="34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center"/>
              <w:rPr/>
            </w:pPr>
            <w:r>
              <w:rPr/>
              <w:t>​</w: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4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market</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Significant</w:t>
            </w:r>
          </w:p>
        </w:tc>
        <w:tc>
          <w:tcPr>
            <w:tcW w:w="34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center"/>
              <w:rPr/>
            </w:pPr>
            <w:r>
              <w:rPr/>
              <w:t>​</w: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45"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8"/>
              </w:rPr>
              <w:t>prices in</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346" w:type="dxa"/>
            <w:tcBorders/>
            <w:vAlign w:val="center"/>
          </w:tcPr>
          <w:p>
            <w:pPr>
              <w:pStyle w:val="TableContents"/>
              <w:bidi w:val="0"/>
              <w:spacing w:before="0" w:after="1"/>
              <w:ind w:left="0" w:right="0" w:hanging="0"/>
              <w:jc w:val="left"/>
              <w:rPr/>
            </w:pPr>
            <w:r>
              <w:rPr/>
              <w:t>​</w:t>
            </w:r>
          </w:p>
        </w:tc>
        <w:tc>
          <w:tcPr>
            <w:tcW w:w="118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Significant</w: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4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active</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8"/>
              </w:rPr>
              <w:t>observable</w:t>
            </w:r>
          </w:p>
        </w:tc>
        <w:tc>
          <w:tcPr>
            <w:tcW w:w="346" w:type="dxa"/>
            <w:tcBorders/>
            <w:vAlign w:val="center"/>
          </w:tcPr>
          <w:p>
            <w:pPr>
              <w:pStyle w:val="TableContents"/>
              <w:bidi w:val="0"/>
              <w:spacing w:before="0" w:after="1"/>
              <w:ind w:left="0" w:right="0" w:hanging="0"/>
              <w:jc w:val="left"/>
              <w:rPr/>
            </w:pPr>
            <w:r>
              <w:rPr/>
              <w:t>​</w:t>
            </w:r>
          </w:p>
        </w:tc>
        <w:tc>
          <w:tcPr>
            <w:tcW w:w="118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unobservable</w: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4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markets</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8"/>
              </w:rPr>
              <w:t>inputs</w:t>
            </w:r>
          </w:p>
        </w:tc>
        <w:tc>
          <w:tcPr>
            <w:tcW w:w="346" w:type="dxa"/>
            <w:tcBorders/>
            <w:vAlign w:val="center"/>
          </w:tcPr>
          <w:p>
            <w:pPr>
              <w:pStyle w:val="TableContents"/>
              <w:bidi w:val="0"/>
              <w:spacing w:before="0" w:after="1"/>
              <w:ind w:left="0" w:right="0" w:hanging="0"/>
              <w:jc w:val="left"/>
              <w:rPr/>
            </w:pPr>
            <w:r>
              <w:rPr/>
              <w:t>​</w:t>
            </w:r>
          </w:p>
        </w:tc>
        <w:tc>
          <w:tcPr>
            <w:tcW w:w="1186"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8"/>
              </w:rPr>
              <w:t>inputs</w: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346" w:type="dxa"/>
            <w:tcBorders/>
            <w:vAlign w:val="center"/>
          </w:tcPr>
          <w:p>
            <w:pPr>
              <w:pStyle w:val="TableContents"/>
              <w:bidi w:val="0"/>
              <w:spacing w:before="0" w:after="1"/>
              <w:ind w:left="0" w:right="0" w:hanging="0"/>
              <w:jc w:val="left"/>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8"/>
              </w:rPr>
              <w:t>(Level 1)</w:t>
            </w:r>
          </w:p>
        </w:tc>
        <w:tc>
          <w:tcPr>
            <w:tcW w:w="346" w:type="dxa"/>
            <w:tcBorders/>
            <w:vAlign w:val="center"/>
          </w:tcPr>
          <w:p>
            <w:pPr>
              <w:pStyle w:val="TableContents"/>
              <w:bidi w:val="0"/>
              <w:spacing w:before="0" w:after="1"/>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8"/>
              </w:rPr>
              <w:t>(Level 2)</w:t>
            </w:r>
          </w:p>
        </w:tc>
        <w:tc>
          <w:tcPr>
            <w:tcW w:w="346" w:type="dxa"/>
            <w:tcBorders/>
            <w:vAlign w:val="center"/>
          </w:tcPr>
          <w:p>
            <w:pPr>
              <w:pStyle w:val="TableContents"/>
              <w:bidi w:val="0"/>
              <w:spacing w:before="0" w:after="1"/>
              <w:ind w:left="0" w:right="0" w:hanging="0"/>
              <w:jc w:val="left"/>
              <w:rPr/>
            </w:pPr>
            <w:r>
              <w:rPr/>
              <w:t>  ​ ​ ​</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8"/>
              </w:rPr>
              <w:t>(Level 3)</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 of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center"/>
              <w:rPr/>
            </w:pPr>
            <w:r>
              <w:rPr/>
              <w:t>​</w:t>
            </w:r>
          </w:p>
        </w:tc>
      </w:tr>
      <w:tr>
        <w:trPr/>
        <w:tc>
          <w:tcPr>
            <w:tcW w:w="2611"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Available-for-sale debt securities</w:t>
            </w: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46,080</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46,080</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investments (refer to Note 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212,306</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212,306</w:t>
            </w:r>
          </w:p>
        </w:tc>
        <w:tc>
          <w:tcPr>
            <w:tcW w:w="346"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pPr>
            <w:r>
              <w:rPr/>
              <w:t>—</w: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pPr>
            <w:r>
              <w:rPr/>
              <w:t>​</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33"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90"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06"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pPr>
            <w:r>
              <w:rPr/>
              <w:t>  ​</w:t>
            </w:r>
          </w:p>
        </w:tc>
      </w:tr>
      <w:tr>
        <w:trPr/>
        <w:tc>
          <w:tcPr>
            <w:tcW w:w="2611"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Available-for-sale debt securities</w:t>
            </w: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25,286</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25,286</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investments (refer to Note 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185,125</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185,125</w:t>
            </w:r>
          </w:p>
        </w:tc>
        <w:tc>
          <w:tcPr>
            <w:tcW w:w="346"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fair value of the Company’s available-for-sale debt securities are based upon unadjusted third-party broker quotes and are classified as Level 3.</w:t>
            </w:r>
          </w:p>
        </w:tc>
      </w:tr>
    </w:tbl>
    <w:p>
      <w:pPr>
        <w:pStyle w:val="TextBody"/>
        <w:bidi w:val="0"/>
        <w:spacing w:before="0" w:after="0"/>
        <w:ind w:left="0" w:right="0" w:hanging="0"/>
        <w:jc w:val="left"/>
        <w:rPr/>
      </w:pPr>
      <w:r>
        <w:rPr/>
        <w: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following table summarizes changes in Level 3 available-for-sale securities reported at fair value on the Company’s consolidated balance sheets for the six months ended June 30, 2026 and 2025 ($ in thousands):</w:t>
      </w:r>
    </w:p>
    <w:tbl>
      <w:tblPr>
        <w:tblW w:w="8287" w:type="dxa"/>
        <w:jc w:val="left"/>
        <w:tblInd w:w="0" w:type="dxa"/>
        <w:tblLayout w:type="fixed"/>
        <w:tblCellMar>
          <w:top w:w="0" w:type="dxa"/>
          <w:left w:w="0" w:type="dxa"/>
          <w:bottom w:w="0" w:type="dxa"/>
          <w:right w:w="0" w:type="dxa"/>
        </w:tblCellMar>
      </w:tblPr>
      <w:tblGrid>
        <w:gridCol w:w="5716"/>
        <w:gridCol w:w="346"/>
        <w:gridCol w:w="211"/>
        <w:gridCol w:w="676"/>
        <w:gridCol w:w="346"/>
        <w:gridCol w:w="211"/>
        <w:gridCol w:w="781"/>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3629660" cy="175260"/>
                      <wp:effectExtent l="0" t="0" r="0" b="0"/>
                      <wp:wrapNone/>
                      <wp:docPr id="240" name="Frame240"/>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2"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29260" cy="175260"/>
                      <wp:effectExtent l="0" t="0" r="0" b="0"/>
                      <wp:wrapNone/>
                      <wp:docPr id="243" name="Frame24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95935" cy="175260"/>
                      <wp:effectExtent l="0" t="0" r="0" b="0"/>
                      <wp:wrapNone/>
                      <wp:docPr id="246" name="Frame24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57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15,376</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 (loss) recorded in other comprehensive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(1,091)</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14,240</w:t>
            </w:r>
          </w:p>
        </w:tc>
      </w:tr>
    </w:tbl>
    <w:p>
      <w:pPr>
        <w:pStyle w:val="TextBody"/>
        <w:bidi w:val="0"/>
        <w:spacing w:before="0" w:after="240"/>
        <w:ind w:left="0" w:right="0" w:firstLine="360"/>
        <w:jc w:val="both"/>
        <w:rPr/>
      </w:pPr>
      <w:r>
        <w:rPr/>
        <w: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b/>
          <w:sz w:val="20"/>
        </w:rPr>
        <w:t>Fair values of financial instruments—</w:t>
      </w:r>
      <w:r>
        <w:rPr>
          <w:rFonts w:ascii="Times New Roman;Times;serif" w:hAnsi="Times New Roman;Times;serif"/>
          <w:sz w:val="20"/>
        </w:rPr>
        <w:t xml:space="preserve">The following table presents the carrying value and fair value for the Company’s financial instruments ($ in millions): </w:t>
      </w:r>
    </w:p>
    <w:tbl>
      <w:tblPr>
        <w:tblW w:w="8987" w:type="dxa"/>
        <w:jc w:val="left"/>
        <w:tblInd w:w="0" w:type="dxa"/>
        <w:tblLayout w:type="fixed"/>
        <w:tblCellMar>
          <w:top w:w="0" w:type="dxa"/>
          <w:left w:w="0" w:type="dxa"/>
          <w:bottom w:w="0" w:type="dxa"/>
          <w:right w:w="0" w:type="dxa"/>
        </w:tblCellMar>
      </w:tblPr>
      <w:tblGrid>
        <w:gridCol w:w="4516"/>
        <w:gridCol w:w="346"/>
        <w:gridCol w:w="260"/>
        <w:gridCol w:w="521"/>
        <w:gridCol w:w="346"/>
        <w:gridCol w:w="211"/>
        <w:gridCol w:w="421"/>
        <w:gridCol w:w="346"/>
        <w:gridCol w:w="260"/>
        <w:gridCol w:w="521"/>
        <w:gridCol w:w="396"/>
        <w:gridCol w:w="241"/>
        <w:gridCol w:w="602"/>
      </w:tblGrid>
      <w:tr>
        <w:trPr/>
        <w:tc>
          <w:tcPr>
            <w:tcW w:w="4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867660" cy="175260"/>
                      <wp:effectExtent l="0" t="0" r="0" b="0"/>
                      <wp:wrapNone/>
                      <wp:docPr id="247" name="Frame247"/>
                      <a:graphic xmlns:a="http://schemas.openxmlformats.org/drawingml/2006/main">
                        <a:graphicData uri="http://schemas.microsoft.com/office/word/2010/wordprocessingShape">
                          <wps:wsp>
                            <wps:cNvSpPr txBox="1"/>
                            <wps:spPr>
                              <a:xfrm>
                                <a:off x="0" y="0"/>
                                <a:ext cx="2867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65100" cy="175260"/>
                      <wp:effectExtent l="0" t="0" r="0" b="0"/>
                      <wp:wrapNone/>
                      <wp:docPr id="249" name="Frame249"/>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30835" cy="175260"/>
                      <wp:effectExtent l="0" t="0" r="0" b="0"/>
                      <wp:wrapNone/>
                      <wp:docPr id="250" name="Frame250"/>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67335" cy="175260"/>
                      <wp:effectExtent l="0" t="0" r="0" b="0"/>
                      <wp:wrapNone/>
                      <wp:docPr id="253" name="Frame25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65100" cy="175260"/>
                      <wp:effectExtent l="0" t="0" r="0" b="0"/>
                      <wp:wrapNone/>
                      <wp:docPr id="255" name="Frame255"/>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330835" cy="175260"/>
                      <wp:effectExtent l="0" t="0" r="0" b="0"/>
                      <wp:wrapNone/>
                      <wp:docPr id="256" name="Frame256"/>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51460" cy="175260"/>
                      <wp:effectExtent l="0" t="0" r="0" b="0"/>
                      <wp:wrapNone/>
                      <wp:docPr id="257" name="Frame257"/>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53035" cy="175260"/>
                      <wp:effectExtent l="0" t="0" r="0" b="0"/>
                      <wp:wrapNone/>
                      <wp:docPr id="258" name="Frame258"/>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382270" cy="175260"/>
                      <wp:effectExtent l="0" t="0" r="0" b="0"/>
                      <wp:wrapNone/>
                      <wp:docPr id="259" name="Frame259"/>
                      <a:graphic xmlns:a="http://schemas.openxmlformats.org/drawingml/2006/main">
                        <a:graphicData uri="http://schemas.microsoft.com/office/word/2010/wordprocessingShape">
                          <wps:wsp>
                            <wps:cNvSpPr txBox="1"/>
                            <wps:spPr>
                              <a:xfrm>
                                <a:off x="0" y="0"/>
                                <a:ext cx="382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2026</w:t>
            </w:r>
          </w:p>
        </w:tc>
        <w:tc>
          <w:tcPr>
            <w:tcW w:w="346" w:type="dxa"/>
            <w:tcBorders/>
            <w:vAlign w:val="center"/>
          </w:tcPr>
          <w:p>
            <w:pPr>
              <w:pStyle w:val="TableContents"/>
              <w:bidi w:val="0"/>
              <w:spacing w:before="0" w:after="1"/>
              <w:ind w:left="0" w:right="0" w:hanging="0"/>
              <w:jc w:val="center"/>
              <w:rPr/>
            </w:pPr>
            <w:r>
              <w:rPr/>
              <w:t>​</w:t>
            </w:r>
          </w:p>
        </w:tc>
        <w:tc>
          <w:tcPr>
            <w:tcW w:w="20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4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1"/>
              <w:ind w:left="0" w:right="0" w:hanging="0"/>
              <w:jc w:val="center"/>
              <w:rPr/>
            </w:pPr>
            <w:r>
              <w:rPr/>
              <w:t>​</w:t>
            </w:r>
          </w:p>
        </w:tc>
        <w:tc>
          <w:tcPr>
            <w:tcW w:w="63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Fair</w:t>
            </w: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center"/>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96" w:type="dxa"/>
            <w:tcBorders/>
            <w:vAlign w:val="center"/>
          </w:tcPr>
          <w:p>
            <w:pPr>
              <w:pStyle w:val="TableContents"/>
              <w:bidi w:val="0"/>
              <w:spacing w:before="0" w:after="1"/>
              <w:ind w:left="0" w:right="0" w:hanging="0"/>
              <w:jc w:val="center"/>
              <w:rPr/>
            </w:pPr>
            <w:r>
              <w:rPr/>
              <w:t>​</w:t>
            </w:r>
          </w:p>
        </w:tc>
        <w:tc>
          <w:tcPr>
            <w:tcW w:w="843"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Fair</w:t>
            </w:r>
            <w:r>
              <w:rPr>
                <w:rFonts w:ascii="Times New Roman;Times;serif" w:hAnsi="Times New Roman;Times;serif"/>
                <w:sz w:val="16"/>
              </w:rPr>
              <w:t> </w:t>
            </w:r>
          </w:p>
        </w:tc>
      </w:tr>
      <w:tr>
        <w:trPr/>
        <w:tc>
          <w:tcPr>
            <w:tcW w:w="4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left"/>
              <w:rPr/>
            </w:pPr>
            <w:r>
              <w:rPr/>
              <w:t>  ​ ​ ​</w:t>
            </w:r>
          </w:p>
        </w:tc>
        <w:tc>
          <w:tcPr>
            <w:tcW w:w="78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Value</w:t>
            </w:r>
          </w:p>
        </w:tc>
        <w:tc>
          <w:tcPr>
            <w:tcW w:w="396" w:type="dxa"/>
            <w:tcBorders/>
            <w:vAlign w:val="center"/>
          </w:tcPr>
          <w:p>
            <w:pPr>
              <w:pStyle w:val="TableContents"/>
              <w:bidi w:val="0"/>
              <w:spacing w:before="0" w:after="1"/>
              <w:ind w:left="0" w:right="0" w:hanging="0"/>
              <w:jc w:val="left"/>
              <w:rPr/>
            </w:pPr>
            <w:r>
              <w:rPr/>
              <w:t>  ​ ​ ​</w:t>
            </w:r>
          </w:p>
        </w:tc>
        <w:tc>
          <w:tcPr>
            <w:tcW w:w="8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center"/>
              <w:rPr/>
            </w:pPr>
            <w:r>
              <w:rPr/>
              <w:t>​</w:t>
            </w:r>
          </w:p>
        </w:tc>
        <w:tc>
          <w:tcPr>
            <w:tcW w:w="52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42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center"/>
              <w:rPr/>
            </w:pPr>
            <w:r>
              <w:rPr/>
              <w:t>​</w:t>
            </w:r>
          </w:p>
        </w:tc>
        <w:tc>
          <w:tcPr>
            <w:tcW w:w="521" w:type="dxa"/>
            <w:tcBorders/>
            <w:shd w:fill="CCEEFF" w:val="clear"/>
            <w:vAlign w:val="center"/>
          </w:tcPr>
          <w:p>
            <w:pPr>
              <w:pStyle w:val="TableContents"/>
              <w:bidi w:val="0"/>
              <w:spacing w:before="0" w:after="1"/>
              <w:ind w:left="0" w:right="0" w:hanging="0"/>
              <w:jc w:val="center"/>
              <w:rPr/>
            </w:pPr>
            <w:r>
              <w:rPr/>
              <w:t>​</w:t>
            </w:r>
          </w:p>
        </w:tc>
        <w:tc>
          <w:tcPr>
            <w:tcW w:w="39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center"/>
              <w:rPr/>
            </w:pPr>
            <w:r>
              <w:rPr/>
              <w:t>​</w:t>
            </w:r>
          </w:p>
        </w:tc>
        <w:tc>
          <w:tcPr>
            <w:tcW w:w="602" w:type="dxa"/>
            <w:tcBorders/>
            <w:shd w:fill="CCEEFF" w:val="clear"/>
            <w:vAlign w:val="center"/>
          </w:tcPr>
          <w:p>
            <w:pPr>
              <w:pStyle w:val="TableContents"/>
              <w:bidi w:val="0"/>
              <w:spacing w:before="0" w:after="1"/>
              <w:ind w:left="0" w:right="0" w:hanging="0"/>
              <w:jc w:val="center"/>
              <w:rPr/>
            </w:pPr>
            <w:r>
              <w:rPr/>
              <w:t>​</w:t>
            </w:r>
          </w:p>
        </w:tc>
      </w:tr>
      <w:tr>
        <w:trPr/>
        <w:tc>
          <w:tcPr>
            <w:tcW w:w="45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Loans receivable and other lending investments, net</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vAlign w:val="center"/>
          </w:tcPr>
          <w:p>
            <w:pPr>
              <w:pStyle w:val="TableContents"/>
              <w:bidi w:val="0"/>
              <w:spacing w:before="0" w:after="1"/>
              <w:ind w:left="0" w:right="0" w:hanging="0"/>
              <w:jc w:val="right"/>
              <w:rPr/>
            </w:pPr>
            <w:r>
              <w:rPr/>
              <w:t>​</w:t>
            </w:r>
          </w:p>
        </w:tc>
        <w:tc>
          <w:tcPr>
            <w:tcW w:w="26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96" w:type="dxa"/>
            <w:tcBorders/>
            <w:vAlign w:val="center"/>
          </w:tcPr>
          <w:p>
            <w:pPr>
              <w:pStyle w:val="TableContents"/>
              <w:bidi w:val="0"/>
              <w:spacing w:before="0" w:after="1"/>
              <w:ind w:left="0" w:right="0" w:hanging="0"/>
              <w:jc w:val="right"/>
              <w:rPr/>
            </w:pPr>
            <w:r>
              <w:rPr/>
              <w:t>​</w:t>
            </w:r>
          </w:p>
        </w:tc>
        <w:tc>
          <w:tcPr>
            <w:tcW w:w="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45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Cash</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5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1"/>
              <w:ind w:left="0" w:right="0" w:hanging="0"/>
              <w:jc w:val="righ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5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96" w:type="dxa"/>
            <w:tcBorders/>
            <w:shd w:fill="CCEEFF" w:val="clear"/>
            <w:vAlign w:val="center"/>
          </w:tcPr>
          <w:p>
            <w:pPr>
              <w:pStyle w:val="TableContents"/>
              <w:bidi w:val="0"/>
              <w:spacing w:before="0" w:after="1"/>
              <w:ind w:left="0" w:right="0" w:hanging="0"/>
              <w:jc w:val="righ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6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45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Restricted cash</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5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1"/>
              <w:ind w:left="0" w:right="0" w:hanging="0"/>
              <w:jc w:val="right"/>
              <w:rPr/>
            </w:pPr>
            <w:r>
              <w:rPr/>
              <w:t>​</w:t>
            </w:r>
          </w:p>
        </w:tc>
        <w:tc>
          <w:tcPr>
            <w:tcW w:w="260" w:type="dxa"/>
            <w:tcBorders/>
            <w:vAlign w:val="center"/>
          </w:tcPr>
          <w:p>
            <w:pPr>
              <w:pStyle w:val="TableContents"/>
              <w:bidi w:val="0"/>
              <w:spacing w:before="0" w:after="1"/>
              <w:ind w:left="0" w:right="0" w:hanging="0"/>
              <w:jc w:val="left"/>
              <w:rPr/>
            </w:pPr>
            <w:r>
              <w:rPr/>
              <w:t> </w:t>
            </w:r>
          </w:p>
        </w:tc>
        <w:tc>
          <w:tcPr>
            <w:tcW w:w="5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96" w:type="dxa"/>
            <w:tcBorders/>
            <w:vAlign w:val="center"/>
          </w:tcPr>
          <w:p>
            <w:pPr>
              <w:pStyle w:val="TableContents"/>
              <w:bidi w:val="0"/>
              <w:spacing w:before="0" w:after="1"/>
              <w:ind w:left="0" w:right="0" w:hanging="0"/>
              <w:jc w:val="right"/>
              <w:rPr/>
            </w:pPr>
            <w:r>
              <w:rPr/>
              <w:t>​</w:t>
            </w:r>
          </w:p>
        </w:tc>
        <w:tc>
          <w:tcPr>
            <w:tcW w:w="241" w:type="dxa"/>
            <w:tcBorders/>
            <w:vAlign w:val="center"/>
          </w:tcPr>
          <w:p>
            <w:pPr>
              <w:pStyle w:val="TableContents"/>
              <w:bidi w:val="0"/>
              <w:spacing w:before="0" w:after="1"/>
              <w:ind w:left="0" w:right="0" w:hanging="0"/>
              <w:jc w:val="left"/>
              <w:rPr/>
            </w:pPr>
            <w:r>
              <w:rPr/>
              <w:t> </w:t>
            </w:r>
          </w:p>
        </w:tc>
        <w:tc>
          <w:tcPr>
            <w:tcW w:w="6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5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5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521" w:type="dxa"/>
            <w:tcBorders/>
            <w:shd w:fill="CCEEFF" w:val="clear"/>
            <w:vAlign w:val="center"/>
          </w:tcPr>
          <w:p>
            <w:pPr>
              <w:pStyle w:val="TableContents"/>
              <w:bidi w:val="0"/>
              <w:spacing w:before="0" w:after="1"/>
              <w:ind w:left="0" w:right="0" w:hanging="0"/>
              <w:jc w:val="right"/>
              <w:rPr/>
            </w:pPr>
            <w:r>
              <w:rPr/>
              <w:t>​</w:t>
            </w:r>
          </w:p>
        </w:tc>
        <w:tc>
          <w:tcPr>
            <w:tcW w:w="396" w:type="dxa"/>
            <w:tcBorders/>
            <w:shd w:fill="CCEEFF" w:val="clear"/>
            <w:vAlign w:val="center"/>
          </w:tcPr>
          <w:p>
            <w:pPr>
              <w:pStyle w:val="TableContents"/>
              <w:bidi w:val="0"/>
              <w:spacing w:before="0" w:after="1"/>
              <w:ind w:left="0" w:right="0" w:hanging="0"/>
              <w:jc w:val="righ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602" w:type="dxa"/>
            <w:tcBorders/>
            <w:shd w:fill="CCEEFF" w:val="clear"/>
            <w:vAlign w:val="center"/>
          </w:tcPr>
          <w:p>
            <w:pPr>
              <w:pStyle w:val="TableContents"/>
              <w:bidi w:val="0"/>
              <w:spacing w:before="0" w:after="1"/>
              <w:ind w:left="0" w:right="0" w:hanging="0"/>
              <w:jc w:val="right"/>
              <w:rPr/>
            </w:pPr>
            <w:r>
              <w:rPr/>
              <w:t>​</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5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60" w:type="dxa"/>
            <w:tcBorders/>
            <w:vAlign w:val="center"/>
          </w:tcPr>
          <w:p>
            <w:pPr>
              <w:pStyle w:val="TableContents"/>
              <w:bidi w:val="0"/>
              <w:spacing w:before="0" w:after="1"/>
              <w:ind w:left="0" w:right="0" w:hanging="0"/>
              <w:jc w:val="left"/>
              <w:rPr/>
            </w:pPr>
            <w:r>
              <w:rPr/>
              <w:t>​</w:t>
            </w:r>
          </w:p>
        </w:tc>
        <w:tc>
          <w:tcPr>
            <w:tcW w:w="521" w:type="dxa"/>
            <w:tcBorders/>
            <w:vAlign w:val="center"/>
          </w:tcPr>
          <w:p>
            <w:pPr>
              <w:pStyle w:val="TableContents"/>
              <w:bidi w:val="0"/>
              <w:spacing w:before="0" w:after="1"/>
              <w:ind w:left="0" w:right="0" w:hanging="0"/>
              <w:jc w:val="right"/>
              <w:rPr/>
            </w:pPr>
            <w:r>
              <w:rPr/>
              <w:t>​</w:t>
            </w:r>
          </w:p>
        </w:tc>
        <w:tc>
          <w:tcPr>
            <w:tcW w:w="396" w:type="dxa"/>
            <w:tcBorders/>
            <w:vAlign w:val="center"/>
          </w:tcPr>
          <w:p>
            <w:pPr>
              <w:pStyle w:val="TableContents"/>
              <w:bidi w:val="0"/>
              <w:spacing w:before="0" w:after="1"/>
              <w:ind w:left="0" w:right="0" w:hanging="0"/>
              <w:jc w:val="right"/>
              <w:rPr/>
            </w:pPr>
            <w:r>
              <w:rPr/>
              <w:t>​</w:t>
            </w:r>
          </w:p>
        </w:tc>
        <w:tc>
          <w:tcPr>
            <w:tcW w:w="241" w:type="dxa"/>
            <w:tcBorders/>
            <w:vAlign w:val="center"/>
          </w:tcPr>
          <w:p>
            <w:pPr>
              <w:pStyle w:val="TableContents"/>
              <w:bidi w:val="0"/>
              <w:spacing w:before="0" w:after="1"/>
              <w:ind w:left="0" w:right="0" w:hanging="0"/>
              <w:jc w:val="left"/>
              <w:rPr/>
            </w:pPr>
            <w:r>
              <w:rPr/>
              <w:t>​</w:t>
            </w:r>
          </w:p>
        </w:tc>
        <w:tc>
          <w:tcPr>
            <w:tcW w:w="602" w:type="dxa"/>
            <w:tcBorders/>
            <w:vAlign w:val="center"/>
          </w:tcPr>
          <w:p>
            <w:pPr>
              <w:pStyle w:val="TableContents"/>
              <w:bidi w:val="0"/>
              <w:spacing w:before="0" w:after="1"/>
              <w:ind w:left="0" w:right="0" w:hanging="0"/>
              <w:jc w:val="right"/>
              <w:rPr/>
            </w:pPr>
            <w:r>
              <w:rPr/>
              <w:t>​</w:t>
            </w:r>
          </w:p>
        </w:tc>
      </w:tr>
      <w:tr>
        <w:trPr/>
        <w:tc>
          <w:tcPr>
            <w:tcW w:w="45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Debt obligations, net</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5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shd w:fill="CCEEFF" w:val="clear"/>
            <w:vAlign w:val="center"/>
          </w:tcPr>
          <w:p>
            <w:pPr>
              <w:pStyle w:val="TableContents"/>
              <w:bidi w:val="0"/>
              <w:spacing w:before="0" w:after="1"/>
              <w:ind w:left="0" w:right="0" w:hanging="0"/>
              <w:jc w:val="righ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5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w:t>
            </w:r>
          </w:p>
        </w:tc>
        <w:tc>
          <w:tcPr>
            <w:tcW w:w="396" w:type="dxa"/>
            <w:tcBorders/>
            <w:shd w:fill="CCEEFF" w:val="clear"/>
            <w:vAlign w:val="center"/>
          </w:tcPr>
          <w:p>
            <w:pPr>
              <w:pStyle w:val="TableContents"/>
              <w:bidi w:val="0"/>
              <w:spacing w:before="0" w:after="1"/>
              <w:ind w:left="0" w:right="0" w:hanging="0"/>
              <w:jc w:val="righ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602"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272</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fair value of the Company’s loans receivable and other lending investments, net and debt obligations are classified as Level 3 within the fair value hierarchy.</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Company determined the carrying values of its cash and restricted cash approximated their fair values. Restricted cash is recorded in “Deferred expenses and other assets, net” on the Company’s balance sheet. The fair value of the Company’s cash and restricted cash are classified as Level 1 within the fair value hierarchy.</w:t>
            </w:r>
            <w:r>
              <w:rPr>
                <w:caps w:val="false"/>
                <w:smallCaps w:val="false"/>
              </w:rPr>
              <w:t xml:space="preserve"> </w:t>
            </w:r>
          </w:p>
        </w:tc>
      </w:tr>
    </w:tbl>
    <w:p>
      <w:pPr>
        <w:pStyle w:val="TextBody"/>
        <w:bidi w:val="0"/>
        <w:spacing w:before="0" w:after="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pBd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Star Holdings</w:t>
      </w:r>
    </w:p>
    <w:p>
      <w:pPr>
        <w:pStyle w:val="TextBody"/>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Consolidated Financial Statements (Continued)</w:t>
      </w:r>
    </w:p>
    <w:p>
      <w:pPr>
        <w:pStyle w:val="TextBody"/>
        <w:shd w:fill="FFFFFF" w:val="clear"/>
        <w:bidi w:val="0"/>
        <w:spacing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(unaudited)</w:t>
      </w:r>
    </w:p>
    <w:p>
      <w:pPr>
        <w:pStyle w:val="TextBody"/>
        <w:pBdr/>
        <w:bidi w:val="0"/>
        <w:spacing w:before="0" w:after="0"/>
        <w:ind w:left="0" w:right="0" w:hanging="360"/>
        <w:jc w:val="both"/>
        <w:rPr>
          <w:rFonts w:ascii="Times New Roman;Times;serif" w:hAnsi="Times New Roman;Times;serif"/>
          <w:b/>
          <w:sz w:val="20"/>
        </w:rPr>
      </w:pPr>
      <w:r>
        <w:rPr>
          <w:rFonts w:ascii="Times New Roman;Times;serif" w:hAnsi="Times New Roman;Times;serif"/>
          <w:b/>
          <w:sz w:val="20"/>
        </w:rPr>
        <w:t>Note 15—Segment Reporting</w:t>
      </w:r>
    </w:p>
    <w:p>
      <w:pPr>
        <w:pStyle w:val="TextBody"/>
        <w:bidi w:val="0"/>
        <w:spacing w:before="0" w:after="0"/>
        <w:ind w:left="36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operates its business through one reportable and operating segment that focuses on realizing value for shareholders primarily by generating cash flows through active asset management and sales of its existing loans, operating properties and land and development properties. The Company’s chief executive officer is the chief operating decision maker (“CODM”) and uses net income (loss), as reported on the Company’s consolidated statements of operations, to measure segment operating performance and allocate resources. All of the Company’s expenses are included in segment operating performance and are reviewed regularly. The measure of segment assets is reported on the Company’s consolidated balance sheets as total assets.</w:t>
      </w:r>
    </w:p>
    <w:p>
      <w:pPr>
        <w:pStyle w:val="TextBody"/>
        <w:bidi w:val="0"/>
        <w:spacing w:before="0" w:after="0"/>
        <w:ind w:left="0" w:right="0" w:hanging="0"/>
        <w:jc w:val="both"/>
        <w:rPr/>
      </w:pPr>
      <w:r>
        <w:rPr/>
        <w:t>​</w:t>
      </w:r>
    </w:p>
    <w:p>
      <w:pPr>
        <w:pStyle w:val="TextBody"/>
        <w:bidi w:val="0"/>
        <w:spacing w:before="0" w:after="0"/>
        <w:ind w:left="36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360" w:right="0" w:hanging="0"/>
        <w:jc w:val="both"/>
        <w:rPr/>
      </w:pPr>
      <w:r>
        <w:rPr/>
        <w:t>​</w:t>
      </w:r>
    </w:p>
    <w:p>
      <w:pPr>
        <w:pStyle w:val="TextBody"/>
        <w:bidi w:val="0"/>
        <w:spacing w:before="0" w:after="0"/>
        <w:ind w:left="360" w:right="0" w:hanging="0"/>
        <w:jc w:val="both"/>
        <w:rPr/>
      </w:pPr>
      <w:r>
        <w:rPr/>
        <w:t>​</w:t>
      </w:r>
    </w:p>
    <w:p>
      <w:pPr>
        <w:pStyle w:val="TextBody"/>
        <w:bidi w:val="0"/>
        <w:spacing w:before="0" w:after="0"/>
        <w:ind w:left="360" w:right="0" w:hanging="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076" w:name="Item2ManagementsDiscussionandAnalysisofF"/>
      <w:bookmarkStart w:id="1077" w:name="_9c0c8f3d_faf1_4f3a_b675_825f271d1327"/>
      <w:bookmarkEnd w:id="1076"/>
      <w:bookmarkEnd w:id="1077"/>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Star Holdings’ (the “Company’s”)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10-Q and the uncertainties and risks described in Item 1A. “Risk Factors” in our Annual Report on Form 10-K for the year ended December 31, 2025 (the “2025 Annual Report”), all of which could affect our future results of operations, financial condition and liquidity. For purposes of Management’s Discussion and Analysis of Financial Condition and Results of Operations, the terms “we,” “our” and “us” refer to Star Holdings and its consolidated subsidiaries, unless the context indicates otherwise.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discussion below should be read in conjunction with our consolidated financial statements and related notes in this quarterly report on Form 10-Q and our 2025 Annual Report. These historical financial statements may not be indicative of our future performance.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Our Development Portfolio</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pacing w:val="4"/>
          <w:sz w:val="20"/>
        </w:rPr>
      </w:pPr>
      <w:r>
        <w:rPr>
          <w:rFonts w:ascii="Times New Roman;Times;serif" w:hAnsi="Times New Roman;Times;serif"/>
          <w:i/>
          <w:spacing w:val="4"/>
          <w:sz w:val="20"/>
        </w:rPr>
        <w:t>Asbury Park Waterfront</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are the managing member in Asbury Partners, LLC, which is the joint venture that owns the Asbury Park Waterfront investment. The aggregate carrying value of the Asbury Park Waterfront investment was approximately $120.9 million as of June 30, 2026.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Asbury Park Waterfront investment includes the following: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Asbury Ocean Club Surfside Resort and Residences: a 16-story mixed use project featuring 130 residential condominium units, a 54-key luxury boutique hotel, 24,000 square feet of retail space, 410 structured parking spaces and a 15,000 square foot gym and spa amenity area. The property was completed in 2019. The hotel is managed by a third party. As of June 30, 2026, all residential condominium units have been sold.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Asbury: a 110-key independent boutique hotel with indoor and outdoor event spaces, and a rooftop bar. The hotel was completed in 2016 and is managed by a third party.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Asbury Lanes: a 12,000 square foot music and entertainment venue. The venue was completed in 2018, is connected to The Asbury and managed by a third party.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pacing w:val="4"/>
          <w:sz w:val="20"/>
          <w:shd w:fill="FFFFFF" w:val="clear"/>
        </w:rPr>
      </w:pPr>
      <w:r>
        <w:rPr>
          <w:rFonts w:ascii="Times New Roman;Times;serif" w:hAnsi="Times New Roman;Times;serif"/>
          <w:spacing w:val="4"/>
          <w:sz w:val="20"/>
          <w:shd w:fill="FFFFFF" w:val="clear"/>
        </w:rPr>
        <w:t>In addition to the operating assets, we also own remaining development sites. Our current strategy for the Asbury Park Waterfront investment is to actively asset manage our operating assets, and strategically monetize the remaining development sites and our operating assets through sales to third party developers and operators while meeting our obligations under the redevelopment agreement with the city of Asbury Park.</w:t>
      </w:r>
    </w:p>
    <w:p>
      <w:pPr>
        <w:pStyle w:val="TextBody"/>
        <w:bidi w:val="0"/>
        <w:spacing w:before="0" w:after="0"/>
        <w:ind w:left="0" w:right="0" w:firstLine="360"/>
        <w:jc w:val="left"/>
        <w:rPr>
          <w:spacing w:val="4"/>
          <w:shd w:fill="FFFFFF" w:val="clear"/>
        </w:rPr>
      </w:pPr>
      <w:r>
        <w:rPr>
          <w:spacing w:val="4"/>
          <w:shd w:fill="FFFFFF" w:val="clear"/>
        </w:rPr>
        <w:t>​</w:t>
      </w:r>
    </w:p>
    <w:p>
      <w:pPr>
        <w:pStyle w:val="TextBody"/>
        <w:bidi w:val="0"/>
        <w:spacing w:before="0" w:after="0"/>
        <w:ind w:left="0" w:right="0" w:hanging="0"/>
        <w:jc w:val="left"/>
        <w:rPr>
          <w:rFonts w:ascii="Times New Roman;Times;serif" w:hAnsi="Times New Roman;Times;serif"/>
          <w:i/>
          <w:spacing w:val="4"/>
          <w:sz w:val="20"/>
        </w:rPr>
      </w:pPr>
      <w:r>
        <w:rPr>
          <w:rFonts w:ascii="Times New Roman;Times;serif" w:hAnsi="Times New Roman;Times;serif"/>
          <w:i/>
          <w:spacing w:val="4"/>
          <w:sz w:val="20"/>
        </w:rPr>
        <w:t>Magnolia Green</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pacing w:val="4"/>
          <w:sz w:val="20"/>
        </w:rPr>
      </w:pPr>
      <w:r>
        <w:rPr>
          <w:rFonts w:ascii="Times New Roman;Times;serif" w:hAnsi="Times New Roman;Times;serif"/>
          <w:spacing w:val="4"/>
          <w:sz w:val="20"/>
        </w:rPr>
        <w:t>Magnolia Green is an approximately 1,900 acre multi-generational master planned residential community that is entitled for 3,550 single and multifamily dwelling units and approximately 193 acres of land for commercial development. The community is located 19 miles southwest of Richmond, Virginia and offers distinct phases designed for people in different life stages, from first home buyers to empty nesters in single family and townhomes built by the area’s top homebuilders. The project is anchored by the Magnolia Green Golf Club, a semi-private 18-hole Nicklaus Design championship golf course with full-service clubhouse and driving range. There are also numerous community amenities, including the Aquatic Center, featuring multiple pools and a snack bar, Arbor Walk, featuring a junior Olympic competition pool, water slide and sports courts, the Tennis Center, featuring tennis and pickleball courts and a pro shop, and miles of paved trails. The aggregate carrying value of our Magnolia Green assets as of June 30, 2026 was $33.0 million.</w:t>
      </w:r>
    </w:p>
    <w:p>
      <w:pPr>
        <w:pStyle w:val="TextBody"/>
        <w:bidi w:val="0"/>
        <w:spacing w:before="0" w:after="240"/>
        <w:ind w:left="0" w:right="0" w:firstLine="360"/>
        <w:jc w:val="both"/>
        <w:rPr>
          <w:rFonts w:ascii="Times New Roman;Times;serif" w:hAnsi="Times New Roman;Times;serif"/>
          <w:sz w:val="20"/>
        </w:rPr>
      </w:pPr>
      <w:r>
        <w:rPr>
          <w:rFonts w:ascii="TimesNewRomanPSMT" w:hAnsi="TimesNewRomanPSMT"/>
          <w:sz w:val="20"/>
        </w:rPr>
        <w:t xml:space="preserve">As of June 30, 2026, 2,240 residential lots have been sold to homebuilders. </w:t>
      </w:r>
      <w:r>
        <w:rPr>
          <w:rFonts w:ascii="Times New Roman;Times;serif" w:hAnsi="Times New Roman;Times;serif"/>
          <w:spacing w:val="4"/>
          <w:sz w:val="20"/>
          <w:shd w:fill="FFFFFF" w:val="clear"/>
        </w:rPr>
        <w:t>We anticipate selling our remaining residential lots to homebuilders either upon completion of horizontal lot development or in bulk as unimproved lots. We currently expect such sales to occur over the next two years; however, it could take substantially longer. We anticipate selling the golf course operations to a third party upon completion of residential lot sellout. There can be no assurance, however, that these sales will be completed.</w:t>
      </w:r>
    </w:p>
    <w:p>
      <w:pPr>
        <w:pStyle w:val="TextBody"/>
        <w:bidi w:val="0"/>
        <w:spacing w:before="0" w:after="0"/>
        <w:ind w:left="0" w:right="0" w:hanging="0"/>
        <w:jc w:val="left"/>
        <w:rPr>
          <w:rFonts w:ascii="Times New Roman;Times;serif" w:hAnsi="Times New Roman;Times;serif"/>
          <w:b/>
          <w:spacing w:val="-4"/>
          <w:sz w:val="20"/>
        </w:rPr>
      </w:pPr>
      <w:r>
        <w:rPr>
          <w:rFonts w:ascii="Times New Roman;Times;serif" w:hAnsi="Times New Roman;Times;serif"/>
          <w:b/>
          <w:spacing w:val="-4"/>
          <w:sz w:val="20"/>
        </w:rPr>
        <w:t>Our Monetizing Portfolio</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pacing w:val="4"/>
          <w:sz w:val="20"/>
        </w:rPr>
        <w:t>As of June 30, 2026, we owned assets that we expect to monetize primarily through asset sales, loan repayments or active asset management. These assets had an aggregate carrying value of approximately</w:t>
      </w:r>
      <w:r>
        <w:rPr>
          <w:rFonts w:ascii="Times New Roman;Times;serif" w:hAnsi="Times New Roman;Times;serif"/>
          <w:sz w:val="20"/>
        </w:rPr>
        <w:t xml:space="preserve"> </w:t>
      </w:r>
      <w:r>
        <w:rPr>
          <w:rFonts w:ascii="Times New Roman;Times;serif" w:hAnsi="Times New Roman;Times;serif"/>
          <w:spacing w:val="4"/>
          <w:sz w:val="20"/>
        </w:rPr>
        <w:t>$77.0 million and were comprised primarily of loans and other lending investments, operating properties, land and other assets. Summarized information regarding these assets is set forth below.</w:t>
      </w:r>
    </w:p>
    <w:p>
      <w:pPr>
        <w:pStyle w:val="TextBody"/>
        <w:shd w:fill="FFFFFF" w:val="clear"/>
        <w:bidi w:val="0"/>
        <w:spacing w:before="0" w:after="0"/>
        <w:ind w:left="0" w:right="0" w:firstLine="720"/>
        <w:jc w:val="both"/>
        <w:rPr/>
      </w:pPr>
      <w:r>
        <w:rPr/>
        <w:t>​</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b/>
          <w:i/>
          <w:spacing w:val="-4"/>
          <w:sz w:val="20"/>
        </w:rPr>
        <w:t>Loans and other lending investments</w:t>
      </w:r>
      <w:r>
        <w:rPr>
          <w:rFonts w:ascii="Times New Roman;Times;serif" w:hAnsi="Times New Roman;Times;serif"/>
          <w:i/>
          <w:spacing w:val="4"/>
          <w:sz w:val="20"/>
        </w:rPr>
        <w:t>.</w:t>
      </w:r>
      <w:r>
        <w:rPr>
          <w:rFonts w:ascii="Times New Roman;Times;serif" w:hAnsi="Times New Roman;Times;serif"/>
          <w:spacing w:val="4"/>
          <w:sz w:val="20"/>
        </w:rPr>
        <w:t xml:space="preserve">   The loans and other lending investments included in our monetizing portfolio as of June 30, 2026 </w:t>
      </w:r>
      <w:r>
        <w:rPr>
          <w:rFonts w:ascii="Times New Roman;Times;serif" w:hAnsi="Times New Roman;Times;serif"/>
          <w:spacing w:val="4"/>
          <w:sz w:val="20"/>
          <w:shd w:fill="FFFFFF" w:val="clear"/>
        </w:rPr>
        <w:t>includes one loan with a carrying value of $16.4 million and 11 available-for-sale debt securities with an aggregate carrying value of $46.1 million.</w:t>
      </w:r>
    </w:p>
    <w:p>
      <w:pPr>
        <w:pStyle w:val="TextBody"/>
        <w:bidi w:val="0"/>
        <w:spacing w:before="0" w:after="0"/>
        <w:ind w:left="0" w:right="0" w:firstLine="400"/>
        <w:jc w:val="both"/>
        <w:rPr/>
      </w:pPr>
      <w:r>
        <w:rPr/>
        <w:t>​</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b/>
          <w:i/>
          <w:spacing w:val="-4"/>
          <w:sz w:val="20"/>
        </w:rPr>
        <w:t>Land</w:t>
      </w:r>
      <w:r>
        <w:rPr>
          <w:rFonts w:ascii="Times New Roman;Times;serif" w:hAnsi="Times New Roman;Times;serif"/>
          <w:i/>
          <w:spacing w:val="4"/>
          <w:sz w:val="20"/>
        </w:rPr>
        <w:t>.</w:t>
      </w:r>
      <w:r>
        <w:rPr>
          <w:rFonts w:ascii="Times New Roman;Times;serif" w:hAnsi="Times New Roman;Times;serif"/>
          <w:spacing w:val="4"/>
          <w:sz w:val="20"/>
        </w:rPr>
        <w:t>   </w:t>
      </w:r>
      <w:r>
        <w:rPr>
          <w:rFonts w:ascii="Times New Roman;Times;serif" w:hAnsi="Times New Roman;Times;serif"/>
          <w:spacing w:val="4"/>
          <w:sz w:val="20"/>
          <w:shd w:fill="FFFFFF" w:val="clear"/>
        </w:rPr>
        <w:t>The land asset included in our portfolio as of </w:t>
      </w:r>
      <w:r>
        <w:rPr>
          <w:rFonts w:ascii="TimesNewRomanPSMT" w:hAnsi="TimesNewRomanPSMT"/>
          <w:sz w:val="20"/>
          <w:shd w:fill="FFFFFF" w:val="clear"/>
        </w:rPr>
        <w:t>June 30, 2026</w:t>
      </w:r>
      <w:r>
        <w:rPr>
          <w:rFonts w:ascii="Times New Roman;Times;serif" w:hAnsi="Times New Roman;Times;serif"/>
          <w:spacing w:val="4"/>
          <w:sz w:val="20"/>
          <w:shd w:fill="FFFFFF" w:val="clear"/>
        </w:rPr>
        <w:t> has a carrying value of approximately $14.4 million. Our general strategy is to seek to sell the land to third party developers.</w:t>
      </w:r>
    </w:p>
    <w:p>
      <w:pPr>
        <w:pStyle w:val="TextBody"/>
        <w:bidi w:val="0"/>
        <w:spacing w:before="0" w:after="0"/>
        <w:ind w:left="0" w:right="0" w:firstLine="400"/>
        <w:jc w:val="both"/>
        <w:rPr/>
      </w:pPr>
      <w:r>
        <w:rPr/>
        <w:t>​</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b/>
          <w:i/>
          <w:spacing w:val="-4"/>
          <w:sz w:val="20"/>
        </w:rPr>
        <w:t>Other</w:t>
      </w:r>
      <w:r>
        <w:rPr>
          <w:rFonts w:ascii="Times New Roman;Times;serif" w:hAnsi="Times New Roman;Times;serif"/>
          <w:i/>
          <w:spacing w:val="4"/>
          <w:sz w:val="20"/>
        </w:rPr>
        <w:t>.</w:t>
      </w:r>
      <w:r>
        <w:rPr>
          <w:rFonts w:ascii="Times New Roman;Times;serif" w:hAnsi="Times New Roman;Times;serif"/>
          <w:spacing w:val="4"/>
          <w:sz w:val="20"/>
        </w:rPr>
        <w:t>   </w:t>
      </w:r>
      <w:r>
        <w:rPr>
          <w:rFonts w:ascii="Times New Roman;Times;serif" w:hAnsi="Times New Roman;Times;serif"/>
          <w:spacing w:val="4"/>
          <w:sz w:val="20"/>
          <w:shd w:fill="FFFFFF" w:val="clear"/>
        </w:rPr>
        <w:t xml:space="preserve">The remainder of the monetizing assets primarily consist of one property that was leased to us under a short term lease which had a carrying value of $0.1 million as of </w:t>
      </w:r>
      <w:r>
        <w:rPr>
          <w:rFonts w:ascii="TimesNewRomanPSMT" w:hAnsi="TimesNewRomanPSMT"/>
          <w:sz w:val="20"/>
          <w:shd w:fill="FFFFFF" w:val="clear"/>
        </w:rPr>
        <w:t>June 30, 2026 and</w:t>
      </w:r>
      <w:r>
        <w:rPr>
          <w:rFonts w:ascii="Times New Roman;Times;serif" w:hAnsi="Times New Roman;Times;serif"/>
          <w:spacing w:val="4"/>
          <w:sz w:val="20"/>
          <w:shd w:fill="FFFFFF" w:val="clear"/>
        </w:rPr>
        <w:t> a group of loans and equity interests that are recorded as having no carrying value in our financial statements. Our general strategy is to monetize the leased asset, although we may hold it until lease expiration. For the assets with no carrying value, we may seek to sell these assets but can give no assurance that we will recover any value from them</w:t>
      </w:r>
    </w:p>
    <w:p>
      <w:pPr>
        <w:pStyle w:val="TextBody"/>
        <w:bidi w:val="0"/>
        <w:spacing w:before="0" w:after="0"/>
        <w:ind w:left="0" w:right="0" w:firstLine="400"/>
        <w:jc w:val="left"/>
        <w:rPr/>
      </w:pPr>
      <w:r>
        <w:rPr/>
        <w:t>​</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b/>
          <w:i/>
          <w:spacing w:val="-4"/>
          <w:sz w:val="20"/>
        </w:rPr>
        <w:t>Investment in Safe</w:t>
      </w:r>
      <w:r>
        <w:rPr>
          <w:rFonts w:ascii="Times New Roman;Times;serif" w:hAnsi="Times New Roman;Times;serif"/>
          <w:spacing w:val="4"/>
          <w:sz w:val="20"/>
        </w:rPr>
        <w:t xml:space="preserve">.   In addition to the assets described above, we also own the Safe Shares which had a fair value of $212.3 million based on the closing price of $15.70 as of June 30, 2026. </w:t>
      </w:r>
      <w:r>
        <w:rPr>
          <w:rFonts w:ascii="Times New Roman;Times;serif" w:hAnsi="Times New Roman;Times;serif"/>
          <w:spacing w:val="4"/>
          <w:sz w:val="20"/>
          <w:shd w:fill="FFFFFF" w:val="clear"/>
        </w:rPr>
        <w:t>Our Margin Loan Facility is collateralized by the Safe Shares as of the date of this filing. The net proceeds from the sale of any Safe Shares must be applied in accordance with the terms of the Margin Loan Facility.</w:t>
      </w:r>
    </w:p>
    <w:p>
      <w:pPr>
        <w:pStyle w:val="TextBody"/>
        <w:bidi w:val="0"/>
        <w:spacing w:before="0" w:after="0"/>
        <w:ind w:left="0" w:right="0" w:firstLine="400"/>
        <w:jc w:val="both"/>
        <w:rPr>
          <w:spacing w:val="4"/>
        </w:rPr>
      </w:pPr>
      <w:r>
        <w:rPr>
          <w:spacing w:val="4"/>
        </w:rPr>
        <w:t>​</w:t>
      </w:r>
    </w:p>
    <w:p>
      <w:pPr>
        <w:pStyle w:val="TextBody"/>
        <w:bidi w:val="0"/>
        <w:spacing w:before="0" w:after="0"/>
        <w:ind w:left="0" w:right="0" w:firstLine="360"/>
        <w:jc w:val="both"/>
        <w:rPr>
          <w:rFonts w:ascii="Times New Roman;Times;serif" w:hAnsi="Times New Roman;Times;serif"/>
          <w:spacing w:val="4"/>
          <w:sz w:val="20"/>
          <w:shd w:fill="FFFFFF" w:val="clear"/>
        </w:rPr>
      </w:pPr>
      <w:r>
        <w:rPr>
          <w:rFonts w:ascii="Times New Roman;Times;serif" w:hAnsi="Times New Roman;Times;serif"/>
          <w:spacing w:val="4"/>
          <w:sz w:val="20"/>
          <w:shd w:fill="FFFFFF" w:val="clear"/>
        </w:rPr>
        <w:t>Declines in the market value of the Safe Shares could require us to make prepayments of some or all of the outstanding borrowings under the Margin Loan Facility or post additional cash collateral. Accessing incremental borrowings under the Safe Credit Facility will increase our interest expense because the interest rate on all borrowings increases to 10.0% per annum while incremental borrowings remain outstanding.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Results of Operations for the Three Months Ended </w:t>
      </w:r>
      <w:r>
        <w:rPr>
          <w:rFonts w:ascii="Times New Roman;Times;serif" w:hAnsi="Times New Roman;Times;serif"/>
          <w:b/>
          <w:spacing w:val="4"/>
          <w:sz w:val="20"/>
        </w:rPr>
        <w:t>June 30, 2026</w:t>
      </w:r>
      <w:r>
        <w:rPr>
          <w:rFonts w:ascii="Times New Roman;Times;serif" w:hAnsi="Times New Roman;Times;serif"/>
          <w:b/>
          <w:sz w:val="20"/>
        </w:rPr>
        <w:t xml:space="preserve"> compared to the Three Months Ended </w:t>
      </w:r>
      <w:r>
        <w:rPr>
          <w:rFonts w:ascii="Times New Roman;Times;serif" w:hAnsi="Times New Roman;Times;serif"/>
          <w:b/>
          <w:spacing w:val="4"/>
          <w:sz w:val="20"/>
        </w:rPr>
        <w:t>June 30, 2025</w:t>
      </w:r>
      <w:r>
        <w:rPr>
          <w:rFonts w:ascii="Times New Roman;Times;serif" w:hAnsi="Times New Roman;Times;serif"/>
          <w:b/>
          <w:sz w:val="20"/>
        </w:rPr>
        <w:t xml:space="preserve"> </w:t>
      </w:r>
    </w:p>
    <w:tbl>
      <w:tblPr>
        <w:tblW w:w="7645" w:type="dxa"/>
        <w:jc w:val="left"/>
        <w:tblInd w:w="0" w:type="dxa"/>
        <w:tblLayout w:type="fixed"/>
        <w:tblCellMar>
          <w:top w:w="0" w:type="dxa"/>
          <w:left w:w="0" w:type="dxa"/>
          <w:bottom w:w="0" w:type="dxa"/>
          <w:right w:w="0" w:type="dxa"/>
        </w:tblCellMar>
      </w:tblPr>
      <w:tblGrid>
        <w:gridCol w:w="3661"/>
        <w:gridCol w:w="346"/>
        <w:gridCol w:w="211"/>
        <w:gridCol w:w="676"/>
        <w:gridCol w:w="346"/>
        <w:gridCol w:w="211"/>
        <w:gridCol w:w="796"/>
        <w:gridCol w:w="346"/>
        <w:gridCol w:w="211"/>
        <w:gridCol w:w="841"/>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324735" cy="175260"/>
                      <wp:effectExtent l="0" t="0" r="0" b="0"/>
                      <wp:wrapNone/>
                      <wp:docPr id="260" name="Frame260"/>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3985" cy="175260"/>
                      <wp:effectExtent l="0" t="0" r="0" b="0"/>
                      <wp:wrapNone/>
                      <wp:docPr id="262" name="Frame2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29260" cy="175260"/>
                      <wp:effectExtent l="0" t="0" r="0" b="0"/>
                      <wp:wrapNone/>
                      <wp:docPr id="263" name="Frame26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4"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3985" cy="175260"/>
                      <wp:effectExtent l="0" t="0" r="0" b="0"/>
                      <wp:wrapNone/>
                      <wp:docPr id="265"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05460" cy="175260"/>
                      <wp:effectExtent l="0" t="0" r="0" b="0"/>
                      <wp:wrapNone/>
                      <wp:docPr id="266" name="Frame26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8"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34035" cy="175260"/>
                      <wp:effectExtent l="0" t="0" r="0" b="0"/>
                      <wp:wrapNone/>
                      <wp:docPr id="269" name="Frame26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2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764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63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2,153</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development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(25,391)</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(22,693)</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1,707</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development cost of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(18,505)</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(recovery of) loan losses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(17,433)</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equity investment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72,076</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sales of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14,365</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81,181</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Revenue</w:t>
      </w:r>
      <w:r>
        <w:rPr>
          <w:rFonts w:ascii="Times New Roman;Times;serif" w:hAnsi="Times New Roman;Times;serif"/>
          <w:sz w:val="20"/>
        </w:rPr>
        <w:t xml:space="preserve">—Operating lease income, which primarily includes income from commercial operating properties, was $2.4 million and $1.9 million, respectively, during the three months ended June 30, 2026 and 2025. The increase in 2026 was due primarily to an increase in percentage rent at one property and an increase in revenues at an entertainment venue, which was partially offset by a lease expiration in December 2025.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Interest income decreased to $1.0 million for the three months ended June 30, 2026 from $1.1 million for the same period in 2025. </w:t>
      </w:r>
      <w:r>
        <w:rPr>
          <w:rFonts w:ascii="Times New Roman;Times;serif" w:hAnsi="Times New Roman;Times;serif"/>
          <w:sz w:val="20"/>
          <w:shd w:fill="FFFFFF" w:val="clear"/>
        </w:rPr>
        <w:t>The decrease in interest income was due primarily to a decrease in the average balance of our performing loans and other lending investments due to loan repayments.</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Other income increased to $14.7 million during the three months ended June 30, 2026 from $12.5 million for the same period in 2025. </w:t>
      </w:r>
      <w:r>
        <w:rPr>
          <w:rFonts w:ascii="Times New Roman;Times;serif" w:hAnsi="Times New Roman;Times;serif"/>
          <w:spacing w:val="4"/>
          <w:sz w:val="20"/>
        </w:rPr>
        <w:t xml:space="preserve">Other income consists primarily of dividend income from our investment in Safe and income from our hotel properties and other operating properties, including Asbury Lanes and the Magnolia Green Golf Club, and other ancillary income. The increase in other income in 2026 was due primarily to $2.5 million </w:t>
      </w:r>
      <w:r>
        <w:rPr>
          <w:rFonts w:ascii="Times New Roman;Times;serif" w:hAnsi="Times New Roman;Times;serif"/>
          <w:sz w:val="20"/>
        </w:rPr>
        <w:t>related to a legal settlement with respect to one of iStar’s (refer to Note 1 to the consolidated financial statements) legacy assets. This amount was recorded upon settlement due to uncertainty regarding collectability of the funds and represents the gross amount of the settlement.</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Land development revenue and cost of sales</w:t>
      </w:r>
      <w:r>
        <w:rPr>
          <w:rFonts w:ascii="Times New Roman;Times;serif" w:hAnsi="Times New Roman;Times;serif"/>
          <w:sz w:val="20"/>
        </w:rPr>
        <w:t xml:space="preserve">—During the three months ended June 30, 2026, we recognized land development revenue of $1.2 million as variable consideration received in connection with a prior sale from our land and development portfolio. The variable consideration is based on the current owner’s sale activity from the land parcel and is recognized in revenue as earned upon actual sales occurring due to uncertainty around the extent and timing of such sales. During the three months ended June 30, 2025, we sold residential lots and recognized land development revenue of $26.6 million which had associated cost of sales of $18.5 million. The decrease in 2026 was primarily due to a bulk sale at our Asbury properties and lot sales at our Magnolia Green property in 2025. </w:t>
      </w:r>
      <w:r>
        <w:rPr>
          <w:rFonts w:ascii="Times New Roman;Times;serif" w:hAnsi="Times New Roman;Times;serif"/>
          <w:spacing w:val="4"/>
          <w:sz w:val="20"/>
        </w:rPr>
        <w:t>As we execute future sales and have fewer remaining residential and development assets, we expect our land development revenue will decline. The timing and amount of such sales cannot be predicted with certainty.</w:t>
      </w:r>
      <w:r>
        <w:rPr>
          <w:rFonts w:ascii="Times New Roman;Times;serif" w:hAnsi="Times New Roman;Times;serif"/>
          <w:sz w:val="20"/>
        </w:rPr>
        <w:t xml:space="preserve"> </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Costs and expenses</w:t>
      </w:r>
      <w:r>
        <w:rPr>
          <w:rFonts w:ascii="Times New Roman;Times;serif" w:hAnsi="Times New Roman;Times;serif"/>
          <w:sz w:val="20"/>
        </w:rPr>
        <w:t>—</w:t>
      </w:r>
      <w:r>
        <w:rPr>
          <w:rFonts w:ascii="Times New Roman;Times;serif" w:hAnsi="Times New Roman;Times;serif"/>
          <w:spacing w:val="4"/>
          <w:sz w:val="20"/>
        </w:rPr>
        <w:t xml:space="preserve">For the three months ended June 30, 2026, we incurred $2.3 million of interest expense on the Safe Credit Facility and $1.8 million of interest expense on our Margin Loan Facility, net of amounts capitalized. </w:t>
      </w:r>
      <w:r>
        <w:rPr>
          <w:rFonts w:ascii="Times New Roman;Times;serif" w:hAnsi="Times New Roman;Times;serif"/>
          <w:sz w:val="20"/>
        </w:rPr>
        <w:t xml:space="preserve">We may elect to pay interest in kind ("PIK") on the Margin Loan Facility in respect of certain quarterly interest payments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and such PIK has been added to the principal balance on the Margin Loan Facility. The applicable margin on the Margin Loan Facility increases by 25 basis points for the entirety of the interest period immediately succeeding any interest period with respect to which we make a PIK election. </w:t>
      </w:r>
      <w:r>
        <w:rPr>
          <w:rFonts w:ascii="Times New Roman;Times;serif" w:hAnsi="Times New Roman;Times;serif"/>
          <w:spacing w:val="4"/>
          <w:sz w:val="20"/>
        </w:rPr>
        <w:t>For the three months ended June 30, 2025, we incurred $2.2 million of interest expense on the Safe Credit Facility and $1.7 million of interest expense on our Margin Loan Facility, net of amounts capitalized.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Real estate expense was $14.1 million during the three months ended June 30, 2026 and $12.3 million for the same period in 2025. Real estate expense typically includes expenses at our hotel and retail operating properties and land properties. The increase in 2026 was due primarily to $1.2 million of expense related to a legal settlement with respect to one of iStar’s (refer to Note 1) legacy assets and an increase in expense at an entertainment venue. This amount was recorded upon settlement due to uncertainty regarding payment, which was contingent on the settlement.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and amortization was $0.9 million during the three months ended June 30, 2026 and $1.0 million for the same period in 2025. The decrease in 2026 was due primarily to certain assets at a property being fully depreciated.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pacing w:val="4"/>
          <w:sz w:val="20"/>
        </w:rPr>
        <w:t xml:space="preserve">During the three months ended June 30, 2026, we incurred $2.6 million of general and administrative expense, primarily resulting from management fees to Safe and director costs. The annual management fee payable to our Manager under the Management Agreement declined from $15.0 million to $10.0 million for the third annual term of the Management Agreement which ended on March 31, 2026, and further declined to $7.5 million for the annual term ending March 31, 2027. </w:t>
      </w:r>
      <w:r>
        <w:rPr>
          <w:rFonts w:ascii="Times New Roman;Times;serif" w:hAnsi="Times New Roman;Times;serif"/>
          <w:spacing w:val="4"/>
          <w:sz w:val="20"/>
          <w:shd w:fill="FFFFFF" w:val="clear"/>
        </w:rPr>
        <w:t>During the three months ended June 30, 2025, we incurred $3.3 million of general and administrative expense, primarily resulting from management fees to Safe and director fees. The decrease in 2026 was due primarily to a decrease in management fees.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provision for loan losses was $6 thousand for the three months ended June 30, 2026 as compared to a provision for loan losses of $25 thousand for the same period in 2025.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Unrealized gain (loss) on equity investment represents the unrealized gain or loss on our Safe Shares. We account for our Safe Shares as an equity investment under ASC 321, which requires that we adjust our investment in the Safe Shares to fair value through income at each reporting period. The unrealized gain for the three months ended June 30, 2026 represents the difference between the fair value of our investment in the Safe Shares as of June 30, 2026 and March 31, 2026. </w:t>
      </w:r>
      <w:r>
        <w:rPr>
          <w:rFonts w:ascii="Times New Roman;Times;serif" w:hAnsi="Times New Roman;Times;serif"/>
          <w:sz w:val="20"/>
          <w:shd w:fill="FFFFFF" w:val="clear"/>
        </w:rPr>
        <w:t xml:space="preserve">The unrealized loss for the three months ended June 30, 2025 represents the difference between the fair value of our investment in the Safe Shares as of </w:t>
      </w:r>
      <w:r>
        <w:rPr>
          <w:rFonts w:ascii="Times New Roman;Times;serif" w:hAnsi="Times New Roman;Times;serif"/>
          <w:sz w:val="20"/>
        </w:rPr>
        <w:t>June 30, 2025 and March 31, 2025</w:t>
      </w:r>
      <w:r>
        <w:rPr>
          <w:rFonts w:ascii="Times New Roman;Times;serif" w:hAnsi="Times New Roman;Times;serif"/>
          <w:sz w:val="20"/>
          <w:shd w:fill="FFFFFF" w:val="clear"/>
        </w:rPr>
        <w:t>.</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Income from sales of real estate for the three months ended June 30, 2026 resulted from the recognition of a sale of an asset from our monetizing portfolio. This sale was recognized in connection with the expiration of a lease as we surrendered the property back to a local municipality. Income recognized was primarily comprised of previously deferred income that was included in “Accounts payable, accrued expenses and other liabilities” in our consolidated balance sheets.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Results of Operations for the Six Months Ended </w:t>
      </w:r>
      <w:r>
        <w:rPr>
          <w:rFonts w:ascii="Times New Roman;Times;serif" w:hAnsi="Times New Roman;Times;serif"/>
          <w:b/>
          <w:spacing w:val="4"/>
          <w:sz w:val="20"/>
        </w:rPr>
        <w:t>June 30, 2026</w:t>
      </w:r>
      <w:r>
        <w:rPr>
          <w:rFonts w:ascii="Times New Roman;Times;serif" w:hAnsi="Times New Roman;Times;serif"/>
          <w:b/>
          <w:sz w:val="20"/>
        </w:rPr>
        <w:t xml:space="preserve"> compared to the Six Months Ended </w:t>
      </w:r>
      <w:r>
        <w:rPr>
          <w:rFonts w:ascii="Times New Roman;Times;serif" w:hAnsi="Times New Roman;Times;serif"/>
          <w:b/>
          <w:spacing w:val="4"/>
          <w:sz w:val="20"/>
        </w:rPr>
        <w:t>June 30, 2025</w:t>
      </w:r>
      <w:r>
        <w:rPr>
          <w:rFonts w:ascii="Times New Roman;Times;serif" w:hAnsi="Times New Roman;Times;serif"/>
          <w:b/>
          <w:sz w:val="20"/>
        </w:rPr>
        <w:t xml:space="preserve"> </w:t>
      </w:r>
    </w:p>
    <w:tbl>
      <w:tblPr>
        <w:tblW w:w="8419" w:type="dxa"/>
        <w:jc w:val="left"/>
        <w:tblInd w:w="0" w:type="dxa"/>
        <w:tblLayout w:type="fixed"/>
        <w:tblCellMar>
          <w:top w:w="0" w:type="dxa"/>
          <w:left w:w="0" w:type="dxa"/>
          <w:bottom w:w="0" w:type="dxa"/>
          <w:right w:w="0" w:type="dxa"/>
        </w:tblCellMar>
      </w:tblPr>
      <w:tblGrid>
        <w:gridCol w:w="3976"/>
        <w:gridCol w:w="346"/>
        <w:gridCol w:w="254"/>
        <w:gridCol w:w="815"/>
        <w:gridCol w:w="417"/>
        <w:gridCol w:w="254"/>
        <w:gridCol w:w="959"/>
        <w:gridCol w:w="346"/>
        <w:gridCol w:w="211"/>
        <w:gridCol w:w="841"/>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524760" cy="175260"/>
                      <wp:effectExtent l="0" t="0" r="0" b="0"/>
                      <wp:wrapNone/>
                      <wp:docPr id="270" name="Frame270"/>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71"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61290" cy="175260"/>
                      <wp:effectExtent l="0" t="0" r="0" b="0"/>
                      <wp:wrapNone/>
                      <wp:docPr id="272" name="Frame272"/>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517525" cy="175260"/>
                      <wp:effectExtent l="0" t="0" r="0" b="0"/>
                      <wp:wrapNone/>
                      <wp:docPr id="273" name="Frame273"/>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64795" cy="175260"/>
                      <wp:effectExtent l="0" t="0" r="0" b="0"/>
                      <wp:wrapNone/>
                      <wp:docPr id="274" name="Frame274"/>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61290" cy="175260"/>
                      <wp:effectExtent l="0" t="0" r="0" b="0"/>
                      <wp:wrapNone/>
                      <wp:docPr id="275" name="Frame275"/>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08965" cy="175260"/>
                      <wp:effectExtent l="0" t="0" r="0" b="0"/>
                      <wp:wrapNone/>
                      <wp:docPr id="276" name="Frame276"/>
                      <a:graphic xmlns:a="http://schemas.openxmlformats.org/drawingml/2006/main">
                        <a:graphicData uri="http://schemas.microsoft.com/office/word/2010/wordprocessingShape">
                          <wps:wsp>
                            <wps:cNvSpPr txBox="1"/>
                            <wps:spPr>
                              <a:xfrm>
                                <a:off x="0" y="0"/>
                                <a:ext cx="608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260"/>
                      <wp:effectExtent l="0" t="0" r="0" b="0"/>
                      <wp:wrapNone/>
                      <wp:docPr id="278"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534035" cy="175260"/>
                      <wp:effectExtent l="0" t="0" r="0" b="0"/>
                      <wp:wrapNone/>
                      <wp:docPr id="279" name="Frame27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54"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7" w:type="dxa"/>
            <w:tcBorders/>
            <w:vAlign w:val="center"/>
          </w:tcPr>
          <w:p>
            <w:pPr>
              <w:pStyle w:val="TableContents"/>
              <w:bidi w:val="0"/>
              <w:spacing w:before="0" w:after="0"/>
              <w:ind w:left="0" w:right="0" w:hanging="0"/>
              <w:jc w:val="center"/>
              <w:rPr/>
            </w:pPr>
            <w:r>
              <w:rPr/>
              <w:t>  ​ ​ ​</w:t>
            </w:r>
          </w:p>
        </w:tc>
        <w:tc>
          <w:tcPr>
            <w:tcW w:w="12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8419"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097"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4,480</w:t>
            </w:r>
          </w:p>
        </w:tc>
        <w:tc>
          <w:tcPr>
            <w:tcW w:w="417"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w:t>
            </w:r>
          </w:p>
        </w:tc>
        <w:tc>
          <w:tcPr>
            <w:tcW w:w="417"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22,048</w:t>
            </w:r>
          </w:p>
        </w:tc>
        <w:tc>
          <w:tcPr>
            <w:tcW w:w="417"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3,055</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development revenue</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12,229</w:t>
            </w:r>
          </w:p>
        </w:tc>
        <w:tc>
          <w:tcPr>
            <w:tcW w:w="417"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(19,559)</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40,300</w:t>
            </w:r>
          </w:p>
        </w:tc>
        <w:tc>
          <w:tcPr>
            <w:tcW w:w="417"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(16,378)</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10,164</w:t>
            </w:r>
          </w:p>
        </w:tc>
        <w:tc>
          <w:tcPr>
            <w:tcW w:w="417"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2,445</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25,561</w:t>
            </w:r>
          </w:p>
        </w:tc>
        <w:tc>
          <w:tcPr>
            <w:tcW w:w="417"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3,519</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development cost of sales</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9,342</w:t>
            </w:r>
          </w:p>
        </w:tc>
        <w:tc>
          <w:tcPr>
            <w:tcW w:w="417"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(15,990)</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3,084</w:t>
            </w:r>
          </w:p>
        </w:tc>
        <w:tc>
          <w:tcPr>
            <w:tcW w:w="417"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5,902</w:t>
            </w:r>
          </w:p>
        </w:tc>
        <w:tc>
          <w:tcPr>
            <w:tcW w:w="417"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(2,070)</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(recovery of) loan losses</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417"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417"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54,844</w:t>
            </w:r>
          </w:p>
        </w:tc>
        <w:tc>
          <w:tcPr>
            <w:tcW w:w="417"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(10,045)</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equity investments</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27,181</w:t>
            </w:r>
          </w:p>
        </w:tc>
        <w:tc>
          <w:tcPr>
            <w:tcW w:w="417"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66,667</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sales of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14,365</w:t>
            </w:r>
          </w:p>
        </w:tc>
        <w:tc>
          <w:tcPr>
            <w:tcW w:w="417"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9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14,365</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early extinguishment of debt, net</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17"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27,002</w:t>
            </w:r>
          </w:p>
        </w:tc>
        <w:tc>
          <w:tcPr>
            <w:tcW w:w="417"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74,769</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Revenue</w:t>
      </w:r>
      <w:r>
        <w:rPr>
          <w:rFonts w:ascii="Times New Roman;Times;serif" w:hAnsi="Times New Roman;Times;serif"/>
          <w:sz w:val="20"/>
        </w:rPr>
        <w:t xml:space="preserve">—Operating lease income, which primarily includes income from commercial operating properties, was $4.5 million and $3.7 million, respectively, during the six months ended June 30, 2026 and 2025. The increase in 2026 was due primarily to one property beginning operations in September 2025 and an increase in revenues at an entertainment venue, which was partially offset by a lease expiration in December 2025.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Interest income decreased to $1.5 million for the six months ended June 30, 2026 from $2.2 million for the same period in 2025. </w:t>
      </w:r>
      <w:r>
        <w:rPr>
          <w:rFonts w:ascii="Times New Roman;Times;serif" w:hAnsi="Times New Roman;Times;serif"/>
          <w:sz w:val="20"/>
          <w:shd w:fill="FFFFFF" w:val="clear"/>
        </w:rPr>
        <w:t>The decrease in interest income was due primarily to a decrease in the average balance of our performing loans and other lending investments due to loan repayments.</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Other income increased to $22.0 million during the six months ended June 30, 2026 from $19.0 million for the same period in 2025. </w:t>
      </w:r>
      <w:r>
        <w:rPr>
          <w:rFonts w:ascii="Times New Roman;Times;serif" w:hAnsi="Times New Roman;Times;serif"/>
          <w:spacing w:val="4"/>
          <w:sz w:val="20"/>
        </w:rPr>
        <w:t xml:space="preserve">Other income consists primarily of dividend income from our investment in Safe and income from our hotel properties and other operating properties, including Asbury Lanes and the Magnolia Green Golf Club, and other ancillary income. The increase in other income in 2026 was due primarily to $3.5 million </w:t>
      </w:r>
      <w:r>
        <w:rPr>
          <w:rFonts w:ascii="Times New Roman;Times;serif" w:hAnsi="Times New Roman;Times;serif"/>
          <w:sz w:val="20"/>
        </w:rPr>
        <w:t>related to a legal settlement with respect to one of iStar’s (refer to Note 1 to the consolidated financial statements) legacy assets. This amount was recorded upon settlement due to uncertainty regarding collectability of the funds and represents the gross amount of the settlement.</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Land development revenue and cost of sales</w:t>
      </w:r>
      <w:r>
        <w:rPr>
          <w:rFonts w:ascii="Times New Roman;Times;serif" w:hAnsi="Times New Roman;Times;serif"/>
          <w:sz w:val="20"/>
        </w:rPr>
        <w:t xml:space="preserve">—During the six months ended June 30, 2026, we recognized land development revenue of $1.5 million as variable consideration received in connection with a prior sale from our land and development portfolio. The variable consideration is based on the current owner’s sale activity from the land parcel and is recognized in revenue as earned upon actual sales occurring due to uncertainty around the extent and timing of such sales. During the six months ended June 30, 2026, we </w:t>
      </w:r>
      <w:r>
        <w:rPr>
          <w:rFonts w:ascii="Times New Roman;Times;serif" w:hAnsi="Times New Roman;Times;serif"/>
          <w:spacing w:val="4"/>
          <w:sz w:val="20"/>
        </w:rPr>
        <w:t xml:space="preserve">sold </w:t>
      </w:r>
      <w:r>
        <w:rPr>
          <w:rFonts w:ascii="Times New Roman;Times;serif" w:hAnsi="Times New Roman;Times;serif"/>
          <w:sz w:val="20"/>
        </w:rPr>
        <w:t xml:space="preserve">residential lots and units and recognized land development revenue of $10.7 million which had associated cost of sales of $9.3 million. During the six months ended June 30, 2025, we sold residential lots and recognized land development revenue of $31.8 million which had associated cost of sales of $25.3 million. The decrease in 2026 was primarily due to a decrease in lot sales at our Magnolia Green property. </w:t>
      </w:r>
      <w:r>
        <w:rPr>
          <w:rFonts w:ascii="Times New Roman;Times;serif" w:hAnsi="Times New Roman;Times;serif"/>
          <w:spacing w:val="4"/>
          <w:sz w:val="20"/>
        </w:rPr>
        <w:t>As we execute future sales and have fewer remaining residential and development assets, we expect our land development revenue will decline. The timing and amount of such sales cannot be predicted with certainty.</w:t>
      </w:r>
      <w:r>
        <w:rPr>
          <w:rFonts w:ascii="Times New Roman;Times;serif" w:hAnsi="Times New Roman;Times;serif"/>
          <w:sz w:val="20"/>
        </w:rPr>
        <w:t xml:space="preserve"> </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Costs and expenses</w:t>
      </w:r>
      <w:r>
        <w:rPr>
          <w:rFonts w:ascii="Times New Roman;Times;serif" w:hAnsi="Times New Roman;Times;serif"/>
          <w:sz w:val="20"/>
        </w:rPr>
        <w:t>—</w:t>
      </w:r>
      <w:r>
        <w:rPr>
          <w:rFonts w:ascii="Times New Roman;Times;serif" w:hAnsi="Times New Roman;Times;serif"/>
          <w:spacing w:val="4"/>
          <w:sz w:val="20"/>
        </w:rPr>
        <w:t xml:space="preserve">For the six months ended June 30, 2026, we incurred $4.6 million of interest expense on the Safe Credit Facility, $3.5 million of interest expense on our Margin Loan Facility, net of amounts capitalized and $2.1 million on the Loan (refer to Note 9 to the consolidated financial statements). </w:t>
      </w:r>
      <w:r>
        <w:rPr>
          <w:rFonts w:ascii="Times New Roman;Times;serif" w:hAnsi="Times New Roman;Times;serif"/>
          <w:sz w:val="20"/>
        </w:rPr>
        <w:t xml:space="preserve">We may elect to pay interest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kind ("PIK") on the Margin Loan Facility in respect of certain quarterly interest payments and such PIK has been added to the principal balance on the Margin Loan Facility. The applicable margin on the Margin Loan Facility increases by 25 basis points for the entirety of the interest period immediately succeeding any interest period with respect to which we make a PIK election. </w:t>
      </w:r>
      <w:r>
        <w:rPr>
          <w:rFonts w:ascii="Times New Roman;Times;serif" w:hAnsi="Times New Roman;Times;serif"/>
          <w:spacing w:val="4"/>
          <w:sz w:val="20"/>
        </w:rPr>
        <w:t>For the six months ended June 30, 2025, we incurred $4.4 million of interest expense on the Safe Credit Facility and $3.3 million of interest expense on our Margin Loan Facility, net of amounts capitalized.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Real estate expense was $25.6 million during the six months ended June 30, 2026 and $22.0 million for the same period in 2025. Real estate expense typically includes expenses at our hotel and retail operating properties and land properties. The increase in 2026 was due primarily to one property beginning operations in September 2025, an increase in expense at an entertainment venue in 2026 and $1.7 million of expense related to a legal settlement with respect to one of iStar’s (refer to Note 1) legacy assets. This amount was recorded upon settlement due to uncertainty regarding payment, which was contingent on the settlement.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and amortization was $3.1 million during the six months ended June 30, 2026 and $1.9 million for the same period in 2025. The increase in 2026 was due primarily to one property beginning operations in September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pacing w:val="4"/>
          <w:sz w:val="20"/>
        </w:rPr>
        <w:t xml:space="preserve">During the six months ended June 30, 2026, we incurred $5.9 million of general and administrative expense, primarily resulting from management fees to Safe and director costs. The annual management fee payable to our Manager under the Management Agreement declined from $15.0 million to $10.0 million for the third annual term of the Management Agreement which ended on March 31, 2026, and further declined to $7.5 million for the annual term ending March 31, 2027. </w:t>
      </w:r>
      <w:r>
        <w:rPr>
          <w:rFonts w:ascii="Times New Roman;Times;serif" w:hAnsi="Times New Roman;Times;serif"/>
          <w:spacing w:val="4"/>
          <w:sz w:val="20"/>
          <w:shd w:fill="FFFFFF" w:val="clear"/>
        </w:rPr>
        <w:t>During the six months ended June 30, 2025, we incurred $8.0 million of general and administrative expense, primarily resulting from management fees to Safe and director fees. The decrease in 2026 was due primarily to a decrease in management fees.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provision for loan losses was $0.4 million for the six months ended June 30, 2026 as compared to a recovery of loan losses of $0.1 million for the same period in 2025. The provision for loan losses for the six months ended June 30, 2026 resulted primarily from a $0.5 million charge-off on a loan that was repaid</w:t>
      </w:r>
      <w:r>
        <w:rPr>
          <w:rFonts w:ascii="Times New Roman;Times;serif" w:hAnsi="Times New Roman;Times;serif"/>
          <w:sz w:val="20"/>
          <w:shd w:fill="FFFFFF" w:val="clear"/>
        </w:rPr>
        <w:t>. The recovery of loan losses for the six months ended June 30, 2025 resulted primarily from a net decrease in the balance of our loan portfolio during the period and an improving economic forecast.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expense was $0.4 million during the six months ended June 30, 2026 and $7 thousand for the same period in 2025. Other expense for the six months ended June 30, 2026 resulted primarily from a loss on deconsolidation of a venture (refer to Note 5 to the consolidated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Unrealized gain (loss) on equity investment represents the unrealized gain or loss on our Safe Shares. We account for our Safe Shares as an equity investment under ASC 321, which requires that we adjust our investment in the Safe Shares to fair value through income at each reporting period. The unrealized gain for the six months ended June 30, 2026 represents the difference between the fair value of our investment in the Safe Shares as of June 30, 2026 and December 31, 2025. </w:t>
      </w:r>
      <w:r>
        <w:rPr>
          <w:rFonts w:ascii="Times New Roman;Times;serif" w:hAnsi="Times New Roman;Times;serif"/>
          <w:sz w:val="20"/>
          <w:shd w:fill="FFFFFF" w:val="clear"/>
        </w:rPr>
        <w:t xml:space="preserve">The unrealized loss for the six months ended June 30, 2025 represents the difference between the fair value of our investment in the Safe Shares as of </w:t>
      </w:r>
      <w:r>
        <w:rPr>
          <w:rFonts w:ascii="Times New Roman;Times;serif" w:hAnsi="Times New Roman;Times;serif"/>
          <w:sz w:val="20"/>
        </w:rPr>
        <w:t>June 30, 2025 and December 31, 2024</w:t>
      </w:r>
      <w:r>
        <w:rPr>
          <w:rFonts w:ascii="Times New Roman;Times;serif" w:hAnsi="Times New Roman;Times;serif"/>
          <w:sz w:val="20"/>
          <w:shd w:fill="FFFFFF" w:val="clear"/>
        </w:rPr>
        <w:t>.</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Income from sales of real estate for the six months ended June 30, 2026 resulted from the recognition of a sale of an asset from our monetizing portfolio. This sale was recognized in connection with the expiration of a lease as we surrendered the property back to a local municipality. Income recognized was primarily comprised of previously deferred income that was included in “Accounts payable, accrued expenses and other liabilities” in our consolidated balance sheets.  </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Loss on early extinguishment of debt during the six months ended June 30, 2025 resulted from the partial repayment of the Margin Loan Facility.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Liquidity is a measure of our ability to meet potential cash requirements, including to pay interest and repay borrowings, develop our assets and maintain our operations, make distributions to our shareholders and meet other general business needs. We were formed in 2023 and we have not paid any dividends. We do not expect to pay regular dividends.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We intend to make distributions of available cash from time to time, primarily dependent upon our ability to sell assets and the prices at which we sell our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sources of cash will be largely dependent on asset sales, which are difficult to predict in terms of timing and amount. While we may be able to anticipate and plan for certain liquidity needs, there may be unexpected increases in uses of cash that are beyond our control and which would affect our financial position, liquidity and results of operations, such as prepayments on the Margin Loan Facility resulting from declines in the market value of the Safe Shares. Even if there are no material changes to our anticipated liquidity requirements, our sources of liquidity may be fewer than, and the funds available from such sources may be less than, anticipated or needed. Our primary sources of liquidity will generally consist of our cash on hand and proceeds from asset sales.  </w:t>
      </w:r>
      <w:r>
        <w:rPr>
          <w:rFonts w:ascii="Times New Roman;Times;serif" w:hAnsi="Times New Roman;Times;serif"/>
          <w:sz w:val="20"/>
        </w:rPr>
        <w:t>We expect our short-term and long-term liquidity requirements to include:</w:t>
      </w:r>
    </w:p>
    <w:tbl>
      <w:tblPr>
        <w:tblW w:w="8539" w:type="dxa"/>
        <w:jc w:val="left"/>
        <w:tblInd w:w="0" w:type="dxa"/>
        <w:tblLayout w:type="fixed"/>
        <w:tblCellMar>
          <w:top w:w="28" w:type="dxa"/>
          <w:left w:w="28" w:type="dxa"/>
          <w:bottom w:w="28" w:type="dxa"/>
          <w:right w:w="28" w:type="dxa"/>
        </w:tblCellMar>
      </w:tblPr>
      <w:tblGrid>
        <w:gridCol w:w="124"/>
        <w:gridCol w:w="256"/>
        <w:gridCol w:w="8159"/>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5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capital expenditures on our Asbury Park Waterfront and Magnolia Green development projects;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debt service on the Safe Credit Facility and the Margin Loan Facility (refer to Note 9 to the consolidated financial statements), and any other indebtedness including any repurchase agreements;</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or refinancing of the Margin Loan Facility and the Safe Credit Facility at their respective maturities;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20"/>
              </w:rPr>
              <w:t>management fees and expense reimbursements payable to our Manager</w:t>
            </w:r>
            <w:r>
              <w:rPr>
                <w:caps w:val="false"/>
                <w:smallCaps w:val="false"/>
              </w:rPr>
              <w:t xml:space="preserve"> </w:t>
            </w:r>
            <w:r>
              <w:rPr>
                <w:rFonts w:ascii="Times New Roman;Times;serif" w:hAnsi="Times New Roman;Times;serif"/>
                <w:b w:val="false"/>
                <w:i w:val="false"/>
                <w:caps w:val="false"/>
                <w:smallCaps w:val="false"/>
                <w:sz w:val="20"/>
              </w:rPr>
              <w:t>(refer to Note 7 to the consolidated financial statements)</w:t>
            </w:r>
            <w:r>
              <w:rPr>
                <w:rFonts w:ascii="Times New Roman;Times;serif" w:hAnsi="Times New Roman;Times;serif"/>
                <w:b w:val="false"/>
                <w:i w:val="false"/>
                <w:caps w:val="false"/>
                <w:smallCaps w:val="false"/>
                <w:spacing w:val="4"/>
                <w:sz w:val="20"/>
              </w:rPr>
              <w:t>;</w:t>
            </w:r>
          </w:p>
        </w:tc>
      </w:tr>
    </w:tbl>
    <w:p>
      <w:pPr>
        <w:pStyle w:val="TextBody"/>
        <w:bidi w:val="0"/>
        <w:spacing w:before="0" w:after="0"/>
        <w:ind w:left="0" w:right="0" w:hanging="0"/>
        <w:jc w:val="left"/>
        <w:rPr/>
      </w:pPr>
      <w:r>
        <w:rPr/>
        <w:t>​</w:t>
      </w:r>
    </w:p>
    <w:tbl>
      <w:tblPr>
        <w:tblW w:w="2568" w:type="dxa"/>
        <w:jc w:val="left"/>
        <w:tblInd w:w="0" w:type="dxa"/>
        <w:tblLayout w:type="fixed"/>
        <w:tblCellMar>
          <w:top w:w="28" w:type="dxa"/>
          <w:left w:w="28" w:type="dxa"/>
          <w:bottom w:w="28" w:type="dxa"/>
          <w:right w:w="28" w:type="dxa"/>
        </w:tblCellMar>
      </w:tblPr>
      <w:tblGrid>
        <w:gridCol w:w="124"/>
        <w:gridCol w:w="256"/>
        <w:gridCol w:w="2188"/>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8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operating expenses; and</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distributions to shareholders if we have excess cash on hand from asset sales after the payment of our debt obligations.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expect to meet our short-term liquidity requirements through any cash flows from operations, proceeds from asset sales, borrowings on available debt facilities and our unrestricted cash. </w:t>
      </w:r>
      <w:r>
        <w:rPr>
          <w:rFonts w:ascii="Times New Roman;Times;serif" w:hAnsi="Times New Roman;Times;serif"/>
          <w:spacing w:val="4"/>
          <w:sz w:val="20"/>
          <w:shd w:fill="FFFFFF" w:val="clear"/>
        </w:rPr>
        <w:t>We expect to meet our long-term liquidity requirements through any cash flows from operations and proceeds from asset sales and through refinancing maturing debt.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Our future cash sources will be largely dependent on proceeds from asset sales. The amount and timing of asset sales, including the sale of Safe Shares, could be adversely affected by a number of factors, some of which are outside of our control, including the macroeconomic factors discussed below. We cannot predict with certainty the specific transactions we will undertake to generate sufficient liquidity to meet our obligations as they come due. We will adjust our plans as appropriate in response to changes in our expectations and changes in market conditions. The uncertainty related to macroeconomic factors such as inflation, changes in interest rates, market volatility, disruptions in the banking sector, tariff policy, geopolitical uncertainty and the availability of financing, and the effects of these factors on the economy generally and on the commercial real estate markets in which we operate, make it</w:t>
      </w:r>
      <w:r>
        <w:rPr>
          <w:rFonts w:ascii="Times New Roman;Times;serif" w:hAnsi="Times New Roman;Times;serif"/>
          <w:spacing w:val="4"/>
          <w:sz w:val="20"/>
          <w:shd w:fill="FFFFFF" w:val="clear"/>
        </w:rPr>
        <w:t> impossible for us to predict or to quantify the impact of these or other trends on our financial results or liquidity.</w:t>
      </w:r>
    </w:p>
    <w:p>
      <w:pPr>
        <w:pStyle w:val="TextBody"/>
        <w:bidi w:val="0"/>
        <w:spacing w:before="0" w:after="240"/>
        <w:ind w:left="0" w:right="0" w:firstLine="360"/>
        <w:jc w:val="both"/>
        <w:rPr>
          <w:spacing w:val="4"/>
          <w:shd w:fill="FFFFFF" w:val="clear"/>
        </w:rPr>
      </w:pPr>
      <w:r>
        <w:rPr>
          <w:spacing w:val="4"/>
          <w:shd w:fill="FFFFFF" w:val="clea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following table outlines our cash flows from operating activities, cash flows from investing activities and cash flows from financing activities for the six months ended June 30, 2026 and 2025 ($ in thousands): </w:t>
      </w:r>
    </w:p>
    <w:p>
      <w:pPr>
        <w:pStyle w:val="TextBody"/>
        <w:bidi w:val="0"/>
        <w:spacing w:before="0" w:after="240"/>
        <w:ind w:left="0" w:right="0" w:firstLine="360"/>
        <w:jc w:val="both"/>
        <w:rPr>
          <w:shd w:fill="FFFFFF" w:val="clear"/>
        </w:rPr>
      </w:pPr>
      <w:r>
        <w:rPr>
          <w:shd w:fill="FFFFFF" w:val="clear"/>
        </w:rPr>
        <w:t>​</w:t>
      </w:r>
    </w:p>
    <w:tbl>
      <w:tblPr>
        <w:tblW w:w="7140" w:type="dxa"/>
        <w:jc w:val="left"/>
        <w:tblInd w:w="0" w:type="dxa"/>
        <w:tblLayout w:type="fixed"/>
        <w:tblCellMar>
          <w:top w:w="0" w:type="dxa"/>
          <w:left w:w="0" w:type="dxa"/>
          <w:bottom w:w="0" w:type="dxa"/>
          <w:right w:w="0" w:type="dxa"/>
        </w:tblCellMar>
      </w:tblPr>
      <w:tblGrid>
        <w:gridCol w:w="3871"/>
        <w:gridCol w:w="346"/>
        <w:gridCol w:w="264"/>
        <w:gridCol w:w="974"/>
        <w:gridCol w:w="467"/>
        <w:gridCol w:w="264"/>
        <w:gridCol w:w="954"/>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458085" cy="175260"/>
                      <wp:effectExtent l="0" t="0" r="0" b="0"/>
                      <wp:wrapNone/>
                      <wp:docPr id="280" name="Frame280"/>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67640" cy="175260"/>
                      <wp:effectExtent l="0" t="0" r="0" b="0"/>
                      <wp:wrapNone/>
                      <wp:docPr id="282" name="Frame282"/>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18490" cy="175260"/>
                      <wp:effectExtent l="0" t="0" r="0" b="0"/>
                      <wp:wrapNone/>
                      <wp:docPr id="283" name="Frame283"/>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96545" cy="175260"/>
                      <wp:effectExtent l="0" t="0" r="0" b="0"/>
                      <wp:wrapNone/>
                      <wp:docPr id="284" name="Frame284"/>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67640" cy="175260"/>
                      <wp:effectExtent l="0" t="0" r="0" b="0"/>
                      <wp:wrapNone/>
                      <wp:docPr id="285" name="Frame285"/>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05790" cy="175260"/>
                      <wp:effectExtent l="0" t="0" r="0" b="0"/>
                      <wp:wrapNone/>
                      <wp:docPr id="286" name="Frame286"/>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92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For the Six Months Ended June 30, </w: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67" w:type="dxa"/>
            <w:tcBorders/>
            <w:vAlign w:val="center"/>
          </w:tcPr>
          <w:p>
            <w:pPr>
              <w:pStyle w:val="TableContents"/>
              <w:bidi w:val="0"/>
              <w:spacing w:before="0" w:after="1"/>
              <w:ind w:left="0" w:right="0" w:hanging="0"/>
              <w:jc w:val="left"/>
              <w:rPr/>
            </w:pPr>
            <w:r>
              <w:rPr/>
              <w:t>  ​ ​ ​</w:t>
            </w:r>
          </w:p>
        </w:tc>
        <w:tc>
          <w:tcPr>
            <w:tcW w:w="12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74" w:type="dxa"/>
            <w:tcBorders/>
            <w:vAlign w:val="center"/>
          </w:tcPr>
          <w:p>
            <w:pPr>
              <w:pStyle w:val="TableContents"/>
              <w:bidi w:val="0"/>
              <w:spacing w:before="0" w:after="1"/>
              <w:ind w:left="0" w:right="0" w:hanging="0"/>
              <w:jc w:val="right"/>
              <w:rPr/>
            </w:pPr>
            <w:r>
              <w:rPr/>
              <w:t>​</w:t>
            </w:r>
          </w:p>
        </w:tc>
        <w:tc>
          <w:tcPr>
            <w:tcW w:w="467"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54" w:type="dxa"/>
            <w:tcBorders/>
            <w:vAlign w:val="center"/>
          </w:tcPr>
          <w:p>
            <w:pPr>
              <w:pStyle w:val="TableContents"/>
              <w:bidi w:val="0"/>
              <w:spacing w:before="0" w:after="1"/>
              <w:ind w:left="0" w:right="0" w:hanging="0"/>
              <w:jc w:val="right"/>
              <w:rPr/>
            </w:pPr>
            <w:r>
              <w:rPr/>
              <w:t>​</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provided by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(11,230)</w:t>
            </w:r>
          </w:p>
        </w:tc>
        <w:tc>
          <w:tcPr>
            <w:tcW w:w="467"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(8,966)</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provided by (used in) investing activities</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7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(5,793)</w:t>
            </w:r>
          </w:p>
        </w:tc>
        <w:tc>
          <w:tcPr>
            <w:tcW w:w="467"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5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(4,403)</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provided by (used in)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7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2,658</w:t>
            </w:r>
          </w:p>
        </w:tc>
        <w:tc>
          <w:tcPr>
            <w:tcW w:w="467"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54"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23,710</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increase in cash flows used in operating activities during 2026 was due primarily to a real estate property beginning operations in the second half of 2025. The increase in cash flows used in investing activities during 2026 was due primarily to the purchase of other lending investments, a decrease in proceeds received from sales of land and development assets and the deconsolidation of a venture in 2026, which was partially offset by a decrease in capital expenditures. The decrease in cash flows provided by financing activities during 2026 was due primarily to a net decrease in borrowings on debt obligations and the repurchase of common stock in 2026.</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b/>
          <w:sz w:val="20"/>
        </w:rPr>
        <w:t>Debt Covenants</w:t>
      </w:r>
      <w:r>
        <w:rPr>
          <w:rFonts w:ascii="Times New Roman;Times;serif" w:hAnsi="Times New Roman;Times;serif"/>
          <w:sz w:val="20"/>
        </w:rPr>
        <w:t>—The Margin Loan Facility requires that we comply with various covenants, including, without limitation, covenants restricting, subject to certain exceptions, indebtedness, liens, investments and the payment of dividends. Additionally, the Margin Loan Facility includes customary representations and warranties, events of default and other creditor protections for this type of facility. Upon the occurrence of certain events which are customary for this type of facility, we may be required to prepay all amounts due under the Margin Loan Facility or post additional collateral in accordance with the Margin Loan Facility and related agreements. As part of the amendment to the Margin Loan Facility that we entered into on March 28, 2025, the loan-to-value ratios that would require us to post additional collateral with the lender or permit us to request a release of collateral were eased from then existing levels.</w:t>
      </w:r>
    </w:p>
    <w:p>
      <w:pPr>
        <w:pStyle w:val="TextBody"/>
        <w:shd w:fill="FFFFFF" w:val="clear"/>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Safe Credit Facility requires that we comply with various covenants, including, without limitation, covenants restricting, subject to certain exceptions, indebtedness, liens, investments, mergers, asset sales and the payment of certain dividends. Additionally, the Safe Credit Facility includes customary representations and warranties as well as customary events of default, the occurrence of which, following any applicable grace period, would permit Safe to, among other things, declare the principal, accrued interest and other obligations of ours under the Safe Credit Facility to be immediately due and payable and foreclose on the collateral securing the Safe Credit Facility.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June 30, 2026, we were in compliance with all of our financial covenants.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a discussion of our critical accounting policies, refer to the combined and consolidated financial statements of our 2025 Annual Report.</w:t>
      </w:r>
    </w:p>
    <w:p>
      <w:pPr>
        <w:pStyle w:val="TextBody"/>
        <w:bidi w:val="0"/>
        <w:spacing w:before="0" w:after="0"/>
        <w:ind w:left="0" w:right="0" w:firstLine="400"/>
        <w:jc w:val="both"/>
        <w:rPr>
          <w:spacing w:val="4"/>
        </w:rPr>
      </w:pPr>
      <w:r>
        <w:rPr>
          <w:spacing w:val="4"/>
        </w:rPr>
        <w:t>​</w:t>
      </w:r>
    </w:p>
    <w:p>
      <w:pPr>
        <w:pStyle w:val="TextBody"/>
        <w:bidi w:val="0"/>
        <w:spacing w:before="0" w:after="240"/>
        <w:ind w:left="0" w:right="0" w:hanging="0"/>
        <w:jc w:val="left"/>
        <w:rPr>
          <w:rFonts w:ascii="Times New Roman;Times;serif" w:hAnsi="Times New Roman;Times;serif"/>
          <w:b/>
          <w:sz w:val="20"/>
        </w:rPr>
      </w:pPr>
      <w:bookmarkStart w:id="1078" w:name="Item3QuantitativeandQualitativeDisclosur"/>
      <w:bookmarkStart w:id="1079" w:name="_0378eecb_abb0_433c_81b7_3dba977c7faf"/>
      <w:bookmarkEnd w:id="1078"/>
      <w:bookmarkEnd w:id="1079"/>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Market Risks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Market risk is the exposure to loss resulting from changes in interest rates, commodity prices and equity prices. In pursuing our business plan, the primary market risk to which we are exposed is interest rate risk. Our operating results will depend in part on the difference between the interest and related income earned on our assets and the interest expense incurred in connection with our interest-bearing liabilities. Changes in the general level of interest rates prevailing in the financial markets will affect our floating liabilities. Any significant increase in interest rates on our interest-bearing liabilities could have a material adverse effect on us. There can be no assurance that our profitability will not be materially adversely affected during any period as a result of changing interest rates.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event of a significant rising interest rate environment or economic downturn, defaults could increase and cause us to incur additional credit losses which would adversely affect our liquidity and operating results. Such delinquencies or defaults would likely have a material adverse effect on the spreads between interest-earning assets and interest-bearing liabilities. In addition, an increase in interest rates could, among other things, reduce the value of our fixed-rate interest-bearing assets and our ability to realize gains from the sale of such assets.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Interest rates are highly sensitive to many factors, including governmental monetary and tax policies, domestic and international economic and political conditions, and other factors beyond our control. We monitor the spreads between our interest-earning assets and interest-bearing liabilities and may implement hedging strategies to limit the effects of changes in interest rates on our operations, including engaging in interest rate swaps, interest rate caps and other interest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rate-related derivative contracts. Such strategies are designed to reduce our exposure, on specific transactions or on a portfolio basis, to changes in cash flows as a result of interest rate movements in the market. We do not enter into derivative contracts for speculative purposes or as a hedge against changes in our credit risk or the credit risk of our borrowers.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quantifies the potential changes in annual net income, assuming no change in our interest earning assets or interest-bearing liabilities, should interest rates decrease or increase by 10, 50 or 100 basis points, assuming no change in the shape of the yield curve (i.e., relative interest rates). Actual results could differ significantly from those estimated in the table.</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Estimated Change In Net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 in thousands) </w:t>
      </w:r>
    </w:p>
    <w:tbl>
      <w:tblPr>
        <w:tblW w:w="3589" w:type="dxa"/>
        <w:jc w:val="left"/>
        <w:tblInd w:w="0" w:type="dxa"/>
        <w:tblLayout w:type="fixed"/>
        <w:tblCellMar>
          <w:top w:w="0" w:type="dxa"/>
          <w:left w:w="0" w:type="dxa"/>
          <w:bottom w:w="0" w:type="dxa"/>
          <w:right w:w="0" w:type="dxa"/>
        </w:tblCellMar>
      </w:tblPr>
      <w:tblGrid>
        <w:gridCol w:w="1906"/>
        <w:gridCol w:w="346"/>
        <w:gridCol w:w="211"/>
        <w:gridCol w:w="1126"/>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210310" cy="175260"/>
                      <wp:effectExtent l="0" t="0" r="0" b="0"/>
                      <wp:wrapNone/>
                      <wp:docPr id="287" name="Frame287"/>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715010" cy="175260"/>
                      <wp:effectExtent l="0" t="0" r="0" b="0"/>
                      <wp:wrapNone/>
                      <wp:docPr id="290" name="Frame290"/>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Change in Interest Rates</w:t>
            </w:r>
          </w:p>
        </w:tc>
        <w:tc>
          <w:tcPr>
            <w:tcW w:w="346" w:type="dxa"/>
            <w:tcBorders/>
            <w:vAlign w:val="center"/>
          </w:tcPr>
          <w:p>
            <w:pPr>
              <w:pStyle w:val="TableContents"/>
              <w:bidi w:val="0"/>
              <w:spacing w:before="0" w:after="1"/>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Net Income</w:t>
            </w:r>
            <w:r>
              <w:rPr>
                <w:rFonts w:ascii="Times New Roman;Times;serif" w:hAnsi="Times New Roman;Times;serif"/>
                <w:b/>
                <w:sz w:val="12"/>
              </w:rPr>
              <w:t>(1)</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-100 Basis Points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-50 Basis Points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 Basis Points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Base Interest Rate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pPr>
            <w:r>
              <w:rPr/>
              <w:t>—</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 Basis Points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+50 Basis Points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+100 Basis Points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w:t>
            </w:r>
          </w:p>
        </w:tc>
      </w:tr>
    </w:tbl>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16"/>
              </w:rPr>
              <w:t xml:space="preserve">As of June 30, 2026, we had $94.5 million principal amount of floating-rate debt obligations outstanding </w:t>
            </w:r>
            <w:r>
              <w:rPr>
                <w:rFonts w:ascii="Times New Roman;Times;serif" w:hAnsi="Times New Roman;Times;serif"/>
                <w:b w:val="false"/>
                <w:i w:val="false"/>
                <w:caps w:val="false"/>
                <w:smallCaps w:val="false"/>
                <w:sz w:val="16"/>
              </w:rPr>
              <w:t xml:space="preserve">and $52.8 million of cash and restricted cash. </w:t>
            </w:r>
          </w:p>
        </w:tc>
      </w:tr>
    </w:tbl>
    <w:p>
      <w:pPr>
        <w:pStyle w:val="TextBody"/>
        <w:bidi w:val="0"/>
        <w:spacing w:before="0" w:after="0"/>
        <w:ind w:left="360" w:right="0" w:hanging="0"/>
        <w:jc w:val="both"/>
        <w:rPr/>
      </w:pPr>
      <w:r>
        <w:rPr/>
        <w:t>​</w:t>
      </w:r>
    </w:p>
    <w:p>
      <w:pPr>
        <w:pStyle w:val="TextBody"/>
        <w:bidi w:val="0"/>
        <w:spacing w:before="0" w:after="0"/>
        <w:ind w:left="36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80" w:name="Item4ControlsandProcedures_830841"/>
      <w:bookmarkStart w:id="1081" w:name="_cec253ec_94b9_4738_9452_62581434e89d"/>
      <w:bookmarkEnd w:id="1080"/>
      <w:bookmarkEnd w:id="1081"/>
      <w:r>
        <w:rPr>
          <w:rFonts w:ascii="Times New Roman;Times;serif" w:hAnsi="Times New Roman;Times;serif"/>
          <w:b/>
          <w:sz w:val="20"/>
        </w:rPr>
        <w:t>Item 4.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maintains disclosure controls and procedures that are designed to ensure that information required to be disclosed in the Company’s Exchange Act reports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w:t>
      </w:r>
      <w:r>
        <w:rPr>
          <w:rFonts w:ascii="Times New Roman;Times;serif" w:hAnsi="Times New Roman;Times;serif"/>
          <w:sz w:val="20"/>
          <w:shd w:fill="FFFFFF" w:val="clear"/>
        </w:rPr>
        <w:t>, </w:t>
      </w:r>
      <w:r>
        <w:rPr>
          <w:rFonts w:ascii="Times New Roman;Times;serif" w:hAnsi="Times New Roman;Times;serif"/>
          <w:sz w:val="20"/>
        </w:rPr>
        <w:t xml:space="preserve">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w:t>
      </w:r>
      <w:r>
        <w:rPr>
          <w:rFonts w:ascii="Times New Roman;Times;serif" w:hAnsi="Times New Roman;Times;serif"/>
          <w:sz w:val="20"/>
          <w:shd w:fill="FFFFFF" w:val="clear"/>
        </w:rPr>
        <w:t>Chief Financial Officer.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the end of the period covered by this report, the Company carried out an evaluation, under the supervision and with the participation of the disclosure committee and other members of management, including its Chief Executive Officer and Chief </w:t>
      </w:r>
      <w:r>
        <w:rPr>
          <w:rFonts w:ascii="Times New Roman;Times;serif" w:hAnsi="Times New Roman;Times;serif"/>
          <w:sz w:val="20"/>
          <w:shd w:fill="FFFFFF" w:val="clear"/>
        </w:rPr>
        <w:t>Financial Officer</w:t>
      </w:r>
      <w:r>
        <w:rPr>
          <w:rFonts w:ascii="Times New Roman;Times;serif" w:hAnsi="Times New Roman;Times;serif"/>
          <w:sz w:val="20"/>
        </w:rPr>
        <w:t>, of the effectiveness of the Company’s disclosure controls and procedures pursuant to Exchange Act Rule 13a-15(b) or Rule 15d-15. Based upon that evaluation, the Chief Executive Officer and Chief Financial Officer concluded that the Company’s disclosure controls and procedures, as of the end of the period covered by this report, were effective to provide reasonable assurance that the information required to be disclosed by the Company in the reports that it files or submits under the Exchange Act is: (i) recorded, processed, summarized and reported within the time periods specified in SEC rules and forms; and (ii) accumulated and communicated to management, including the Chief Executive Officer and Chief Financial Officer, as appropriate, to allow timely decisions regarding disclosure.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have been no changes in the Company’s internal control over financial reporting during the period covered by this quarterly report that has materially affected, or is reasonably likely to materially affect, the Company’s internal control over financial reporting.</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82" w:name="PARTIIOTHERINFORMATION_183511"/>
      <w:bookmarkEnd w:id="1082"/>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083" w:name="Item1LegalProceedings_82121"/>
      <w:bookmarkStart w:id="1084" w:name="_1cea55d5_3df0_4148_a92a_de96c9fb1deb"/>
      <w:bookmarkEnd w:id="1083"/>
      <w:bookmarkEnd w:id="1084"/>
      <w:r>
        <w:rPr>
          <w:rFonts w:ascii="Times New Roman;Times;serif" w:hAnsi="Times New Roman;Times;serif"/>
          <w:b/>
          <w:sz w:val="20"/>
        </w:rPr>
        <w:t>Item 1.   Legal Proceedings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and/or one or more of its subsidiaries is party to various pending litigation matters that are considered ordinary routine litigation incidental to the Company’s business as a finance and investment company focused on the commercial real estate industry, including foreclosure-related proceedings. The Company believes it is not a party to, nor are any of its properties the subject of, any pending legal proceeding that would have a material adverse effect on the Company’s consolidated financial statements.</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085" w:name="Item1ARiskFactors_695411"/>
      <w:bookmarkStart w:id="1086" w:name="_a15e681a_e866_405e_8f13_6ff1d7b23dbc"/>
      <w:bookmarkEnd w:id="1085"/>
      <w:bookmarkEnd w:id="1086"/>
      <w:r>
        <w:rPr>
          <w:rFonts w:ascii="Times New Roman;Times;serif" w:hAnsi="Times New Roman;Times;serif"/>
          <w:b/>
          <w:sz w:val="20"/>
        </w:rPr>
        <w:t>Item 1A.   Risk Factors</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There were no material changes from the risk factors previously disclosed in our 2025 Annual Report.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087" w:name="Item2UnregisteredSalesofEquitySecurities"/>
      <w:bookmarkStart w:id="1088" w:name="_44ec77ce_3df5_4627_a462_a30bf633f670"/>
      <w:bookmarkEnd w:id="1087"/>
      <w:bookmarkEnd w:id="1088"/>
      <w:r>
        <w:rPr>
          <w:rFonts w:ascii="Times New Roman;Times;serif" w:hAnsi="Times New Roman;Times;serif"/>
          <w:b/>
          <w:sz w:val="20"/>
        </w:rPr>
        <w:t>Item 2.   Unregistered Sales of Equity Securities and Use of Proceeds</w:t>
      </w:r>
    </w:p>
    <w:p>
      <w:pPr>
        <w:pStyle w:val="TextBody"/>
        <w:bidi w:val="0"/>
        <w:spacing w:before="0" w:after="0"/>
        <w:ind w:left="0" w:right="0" w:firstLine="360"/>
        <w:jc w:val="both"/>
        <w:rPr>
          <w:rFonts w:ascii="Times New Roman;Times;serif" w:hAnsi="Times New Roman;Times;serif"/>
          <w:sz w:val="16"/>
        </w:rPr>
      </w:pPr>
      <w:r>
        <w:rPr>
          <w:rFonts w:ascii="Times New Roman;Times;serif" w:hAnsi="Times New Roman;Times;serif"/>
          <w:sz w:val="20"/>
        </w:rPr>
        <w:t>None.</w:t>
      </w:r>
      <w:r>
        <w:rPr>
          <w:rFonts w:ascii="Times New Roman;Times;serif" w:hAnsi="Times New Roman;Times;serif"/>
          <w:sz w:val="16"/>
          <w:shd w:fill="FFFFFF" w:val="clear"/>
        </w:rPr>
        <w:t xml:space="preserve"> </w:t>
      </w:r>
    </w:p>
    <w:p>
      <w:pPr>
        <w:pStyle w:val="TextBody"/>
        <w:bidi w:val="0"/>
        <w:spacing w:before="0" w:after="0"/>
        <w:ind w:left="360" w:right="0" w:hanging="0"/>
        <w:jc w:val="both"/>
        <w:rPr/>
      </w:pPr>
      <w:r>
        <w:rPr/>
        <w:t>​</w:t>
      </w:r>
    </w:p>
    <w:p>
      <w:pPr>
        <w:pStyle w:val="TextBody"/>
        <w:bidi w:val="0"/>
        <w:spacing w:before="0" w:after="24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Purchases of Equity Securities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val="false"/>
          <w:caps w:val="false"/>
          <w:smallCaps w:val="false"/>
          <w:color w:val="212529"/>
          <w:sz w:val="20"/>
          <w:shd w:fill="FFFFFF" w:val="clear"/>
        </w:rPr>
        <w:t>We did</w:t>
      </w:r>
      <w:r>
        <w:rPr>
          <w:rFonts w:ascii="Times New Roman;Times;serif" w:hAnsi="Times New Roman;Times;serif"/>
          <w:i/>
          <w:color w:val="212529"/>
          <w:sz w:val="20"/>
          <w:shd w:fill="FFFFFF" w:val="clear"/>
        </w:rPr>
        <w:t xml:space="preserve"> </w:t>
      </w:r>
      <w:r>
        <w:rPr>
          <w:rFonts w:ascii="Times New Roman;Times;serif" w:hAnsi="Times New Roman;Times;serif"/>
          <w:i w:val="false"/>
          <w:caps w:val="false"/>
          <w:smallCaps w:val="false"/>
          <w:sz w:val="20"/>
        </w:rPr>
        <w:t>not purchase any shares of our common stock during the three months ended June 30, 2026.</w:t>
      </w:r>
      <w:r>
        <w:rPr>
          <w:rFonts w:ascii="Times New Roman;Times;serif" w:hAnsi="Times New Roman;Times;serif"/>
          <w:i/>
          <w:caps w:val="false"/>
          <w:smallCaps w:val="false"/>
          <w:sz w:val="20"/>
        </w:rPr>
        <w:t xml:space="preserve"> </w:t>
      </w:r>
    </w:p>
    <w:p>
      <w:pPr>
        <w:pStyle w:val="TextBody"/>
        <w:bidi w:val="0"/>
        <w:spacing w:before="0" w:after="240"/>
        <w:ind w:left="0" w:right="0" w:hanging="0"/>
        <w:jc w:val="left"/>
        <w:rPr>
          <w:rFonts w:ascii="Times New Roman;Times;serif" w:hAnsi="Times New Roman;Times;serif"/>
          <w:b/>
          <w:sz w:val="20"/>
        </w:rPr>
      </w:pPr>
      <w:bookmarkStart w:id="1089" w:name="Item3DefaultsUponSeniorSecurities_384293"/>
      <w:bookmarkStart w:id="1090" w:name="_aa6fd834_b8be_4d50_8fb3_c905d496eddc"/>
      <w:bookmarkEnd w:id="1089"/>
      <w:bookmarkEnd w:id="1090"/>
      <w:r>
        <w:rPr>
          <w:rFonts w:ascii="Times New Roman;Times;serif" w:hAnsi="Times New Roman;Times;serif"/>
          <w:b/>
          <w:sz w:val="20"/>
        </w:rPr>
        <w:t>Item 3.   Defaults Upon Senior Securities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091" w:name="Item4MineSafetyDisclosures_914406"/>
      <w:bookmarkStart w:id="1092" w:name="_fcab17fc_9e6d_4f64_9531_d98f6cdef195"/>
      <w:bookmarkEnd w:id="1091"/>
      <w:bookmarkEnd w:id="1092"/>
      <w:r>
        <w:rPr>
          <w:rFonts w:ascii="Times New Roman;Times;serif" w:hAnsi="Times New Roman;Times;serif"/>
          <w:b/>
          <w:sz w:val="20"/>
        </w:rPr>
        <w:t>Item 4.   Mine Safety Disclosures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093" w:name="Item5OtherInformation_66088"/>
      <w:bookmarkStart w:id="1094" w:name="_9d230cef_5527_452d_9174_49391900053a"/>
      <w:bookmarkEnd w:id="1093"/>
      <w:bookmarkEnd w:id="1094"/>
      <w:r>
        <w:rPr>
          <w:rFonts w:ascii="Times New Roman;Times;serif" w:hAnsi="Times New Roman;Times;serif"/>
          <w:b/>
          <w:sz w:val="20"/>
        </w:rPr>
        <w:t>Item 5.   Other Information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None. </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95" w:name="Item6Exhibits_269658"/>
      <w:bookmarkStart w:id="1096" w:name="_c077605d_e61c_442f_a7ce_fafb8fef4d55"/>
      <w:bookmarkEnd w:id="1095"/>
      <w:bookmarkEnd w:id="1096"/>
      <w:r>
        <w:rPr>
          <w:rFonts w:ascii="Times New Roman;Times;serif" w:hAnsi="Times New Roman;Times;serif"/>
          <w:b/>
          <w:sz w:val="20"/>
        </w:rPr>
        <w:t>Item 6.   Exhibits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EXHIBITS</w:t>
      </w:r>
    </w:p>
    <w:tbl>
      <w:tblPr>
        <w:tblW w:w="10205" w:type="dxa"/>
        <w:jc w:val="left"/>
        <w:tblInd w:w="0" w:type="dxa"/>
        <w:tblLayout w:type="fixed"/>
        <w:tblCellMar>
          <w:top w:w="0" w:type="dxa"/>
          <w:left w:w="0" w:type="dxa"/>
          <w:bottom w:w="0" w:type="dxa"/>
          <w:right w:w="0" w:type="dxa"/>
        </w:tblCellMar>
      </w:tblPr>
      <w:tblGrid>
        <w:gridCol w:w="846"/>
        <w:gridCol w:w="286"/>
        <w:gridCol w:w="9073"/>
      </w:tblGrid>
      <w:tr>
        <w:trPr/>
        <w:tc>
          <w:tcPr>
            <w:tcW w:w="8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9073" w:type="dxa"/>
            <w:tcBorders/>
            <w:vAlign w:val="center"/>
          </w:tcPr>
          <w:p>
            <w:pPr>
              <w:pStyle w:val="TableContents"/>
              <w:bidi w:val="0"/>
              <w:spacing w:before="0" w:after="0"/>
              <w:ind w:left="0" w:right="0" w:hanging="0"/>
              <w:jc w:val="left"/>
              <w:rPr/>
            </w:pPr>
            <w:r>
              <w:rPr/>
              <w:t>​</w:t>
            </w:r>
          </w:p>
        </w:tc>
      </w:tr>
      <w:tr>
        <w:trPr/>
        <w:tc>
          <w:tcPr>
            <w:tcW w:w="8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br/>
              <w:t>Number</w:t>
            </w:r>
          </w:p>
        </w:tc>
        <w:tc>
          <w:tcPr>
            <w:tcW w:w="286" w:type="dxa"/>
            <w:tcBorders/>
            <w:vAlign w:val="center"/>
          </w:tcPr>
          <w:p>
            <w:pPr>
              <w:pStyle w:val="TableContents"/>
              <w:bidi w:val="0"/>
              <w:spacing w:before="0" w:after="30"/>
              <w:ind w:left="0" w:right="0" w:hanging="0"/>
              <w:jc w:val="center"/>
              <w:rPr/>
            </w:pPr>
            <w:r>
              <w:rPr/>
              <w:t>  ​ ​</w:t>
            </w:r>
          </w:p>
        </w:tc>
        <w:tc>
          <w:tcPr>
            <w:tcW w:w="9073" w:type="dxa"/>
            <w:tcBorders/>
            <w:vAlign w:val="center"/>
          </w:tcPr>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Document Description</w:t>
            </w:r>
          </w:p>
        </w:tc>
      </w:tr>
      <w:tr>
        <w:trPr/>
        <w:tc>
          <w:tcPr>
            <w:tcW w:w="84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31.0</w:t>
            </w:r>
          </w:p>
        </w:tc>
        <w:tc>
          <w:tcPr>
            <w:tcW w:w="286" w:type="dxa"/>
            <w:tcBorders/>
            <w:vAlign w:val="center"/>
          </w:tcPr>
          <w:p>
            <w:pPr>
              <w:pStyle w:val="TableContents"/>
              <w:bidi w:val="0"/>
              <w:spacing w:before="0" w:after="30"/>
              <w:ind w:left="0" w:right="0" w:hanging="0"/>
              <w:jc w:val="left"/>
              <w:rPr/>
            </w:pPr>
            <w:r>
              <w:rPr/>
              <w:t>​</w:t>
            </w:r>
          </w:p>
        </w:tc>
        <w:tc>
          <w:tcPr>
            <w:tcW w:w="9073" w:type="dxa"/>
            <w:tcBorders/>
            <w:vAlign w:val="center"/>
          </w:tcPr>
          <w:p>
            <w:pPr>
              <w:pStyle w:val="TableContents"/>
              <w:bidi w:val="0"/>
              <w:spacing w:before="0" w:after="30"/>
              <w:ind w:left="0" w:right="0" w:hanging="0"/>
              <w:jc w:val="left"/>
              <w:rPr/>
            </w:pPr>
            <w:hyperlink w:anchor="stho-20260630xex31d0.htm">
              <w:r>
                <w:rPr>
                  <w:rStyle w:val="InternetLink"/>
                  <w:rFonts w:ascii="Times New Roman;Times;serif" w:hAnsi="Times New Roman;Times;serif"/>
                  <w:b w:val="false"/>
                  <w:i w:val="false"/>
                  <w:caps w:val="false"/>
                  <w:smallCaps w:val="false"/>
                  <w:sz w:val="20"/>
                </w:rPr>
                <w:t>Certifications pursuant to Section 302 of the Sarbanes-Oxley Act</w:t>
              </w:r>
            </w:hyperlink>
          </w:p>
        </w:tc>
      </w:tr>
      <w:tr>
        <w:trPr/>
        <w:tc>
          <w:tcPr>
            <w:tcW w:w="84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32.0</w:t>
            </w:r>
          </w:p>
        </w:tc>
        <w:tc>
          <w:tcPr>
            <w:tcW w:w="286" w:type="dxa"/>
            <w:tcBorders/>
            <w:vAlign w:val="center"/>
          </w:tcPr>
          <w:p>
            <w:pPr>
              <w:pStyle w:val="TableContents"/>
              <w:bidi w:val="0"/>
              <w:spacing w:before="0" w:after="30"/>
              <w:ind w:left="0" w:right="0" w:hanging="0"/>
              <w:jc w:val="left"/>
              <w:rPr/>
            </w:pPr>
            <w:r>
              <w:rPr/>
              <w:t>​</w:t>
            </w:r>
          </w:p>
        </w:tc>
        <w:tc>
          <w:tcPr>
            <w:tcW w:w="9073" w:type="dxa"/>
            <w:tcBorders/>
            <w:vAlign w:val="center"/>
          </w:tcPr>
          <w:p>
            <w:pPr>
              <w:pStyle w:val="TableContents"/>
              <w:bidi w:val="0"/>
              <w:spacing w:before="0" w:after="30"/>
              <w:ind w:left="0" w:right="0" w:hanging="0"/>
              <w:jc w:val="left"/>
              <w:rPr/>
            </w:pPr>
            <w:hyperlink w:anchor="stho-20260630xex32d0.htm">
              <w:r>
                <w:rPr>
                  <w:rStyle w:val="InternetLink"/>
                  <w:rFonts w:ascii="Times New Roman;Times;serif" w:hAnsi="Times New Roman;Times;serif"/>
                  <w:b w:val="false"/>
                  <w:i w:val="false"/>
                  <w:caps w:val="false"/>
                  <w:smallCaps w:val="false"/>
                  <w:sz w:val="20"/>
                </w:rPr>
                <w:t>Certifications pursuant to Section 906 of the Sarbanes-Oxley Act</w:t>
              </w:r>
            </w:hyperlink>
          </w:p>
        </w:tc>
      </w:tr>
      <w:tr>
        <w:trPr/>
        <w:tc>
          <w:tcPr>
            <w:tcW w:w="84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101.INS</w:t>
            </w:r>
          </w:p>
        </w:tc>
        <w:tc>
          <w:tcPr>
            <w:tcW w:w="286" w:type="dxa"/>
            <w:tcBorders/>
            <w:vAlign w:val="center"/>
          </w:tcPr>
          <w:p>
            <w:pPr>
              <w:pStyle w:val="TableContents"/>
              <w:bidi w:val="0"/>
              <w:spacing w:before="0" w:after="30"/>
              <w:ind w:left="0" w:right="0" w:hanging="0"/>
              <w:jc w:val="left"/>
              <w:rPr/>
            </w:pPr>
            <w:r>
              <w:rPr/>
              <w:t>​</w:t>
            </w:r>
          </w:p>
        </w:tc>
        <w:tc>
          <w:tcPr>
            <w:tcW w:w="9073"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4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101.SCH</w:t>
            </w:r>
          </w:p>
        </w:tc>
        <w:tc>
          <w:tcPr>
            <w:tcW w:w="286" w:type="dxa"/>
            <w:tcBorders/>
            <w:vAlign w:val="center"/>
          </w:tcPr>
          <w:p>
            <w:pPr>
              <w:pStyle w:val="TableContents"/>
              <w:bidi w:val="0"/>
              <w:spacing w:before="0" w:after="30"/>
              <w:ind w:left="0" w:right="0" w:hanging="0"/>
              <w:jc w:val="left"/>
              <w:rPr/>
            </w:pPr>
            <w:r>
              <w:rPr/>
              <w:t>​</w:t>
            </w:r>
          </w:p>
        </w:tc>
        <w:tc>
          <w:tcPr>
            <w:tcW w:w="9073"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4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101.CAL</w:t>
            </w:r>
          </w:p>
        </w:tc>
        <w:tc>
          <w:tcPr>
            <w:tcW w:w="286" w:type="dxa"/>
            <w:tcBorders/>
            <w:vAlign w:val="center"/>
          </w:tcPr>
          <w:p>
            <w:pPr>
              <w:pStyle w:val="TableContents"/>
              <w:bidi w:val="0"/>
              <w:spacing w:before="0" w:after="30"/>
              <w:ind w:left="0" w:right="0" w:hanging="0"/>
              <w:jc w:val="left"/>
              <w:rPr/>
            </w:pPr>
            <w:r>
              <w:rPr/>
              <w:t>​</w:t>
            </w:r>
          </w:p>
        </w:tc>
        <w:tc>
          <w:tcPr>
            <w:tcW w:w="9073"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4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101.DEF</w:t>
            </w:r>
          </w:p>
        </w:tc>
        <w:tc>
          <w:tcPr>
            <w:tcW w:w="286" w:type="dxa"/>
            <w:tcBorders/>
            <w:vAlign w:val="center"/>
          </w:tcPr>
          <w:p>
            <w:pPr>
              <w:pStyle w:val="TableContents"/>
              <w:bidi w:val="0"/>
              <w:spacing w:before="0" w:after="30"/>
              <w:ind w:left="0" w:right="0" w:hanging="0"/>
              <w:jc w:val="left"/>
              <w:rPr/>
            </w:pPr>
            <w:r>
              <w:rPr/>
              <w:t>​</w:t>
            </w:r>
          </w:p>
        </w:tc>
        <w:tc>
          <w:tcPr>
            <w:tcW w:w="9073"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4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101.LAB</w:t>
            </w:r>
          </w:p>
        </w:tc>
        <w:tc>
          <w:tcPr>
            <w:tcW w:w="286" w:type="dxa"/>
            <w:tcBorders/>
            <w:vAlign w:val="center"/>
          </w:tcPr>
          <w:p>
            <w:pPr>
              <w:pStyle w:val="TableContents"/>
              <w:bidi w:val="0"/>
              <w:spacing w:before="0" w:after="30"/>
              <w:ind w:left="0" w:right="0" w:hanging="0"/>
              <w:jc w:val="left"/>
              <w:rPr/>
            </w:pPr>
            <w:r>
              <w:rPr/>
              <w:t>​</w:t>
            </w:r>
          </w:p>
        </w:tc>
        <w:tc>
          <w:tcPr>
            <w:tcW w:w="9073"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Labels Linkbase Document</w:t>
            </w:r>
          </w:p>
        </w:tc>
      </w:tr>
      <w:tr>
        <w:trPr/>
        <w:tc>
          <w:tcPr>
            <w:tcW w:w="84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101.PRE</w:t>
            </w:r>
          </w:p>
        </w:tc>
        <w:tc>
          <w:tcPr>
            <w:tcW w:w="286" w:type="dxa"/>
            <w:tcBorders/>
            <w:vAlign w:val="center"/>
          </w:tcPr>
          <w:p>
            <w:pPr>
              <w:pStyle w:val="TableContents"/>
              <w:bidi w:val="0"/>
              <w:spacing w:before="0" w:after="30"/>
              <w:ind w:left="0" w:right="0" w:hanging="0"/>
              <w:jc w:val="left"/>
              <w:rPr/>
            </w:pPr>
            <w:r>
              <w:rPr/>
              <w:t>​</w:t>
            </w:r>
          </w:p>
        </w:tc>
        <w:tc>
          <w:tcPr>
            <w:tcW w:w="9073"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4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104</w:t>
            </w:r>
          </w:p>
        </w:tc>
        <w:tc>
          <w:tcPr>
            <w:tcW w:w="286" w:type="dxa"/>
            <w:tcBorders/>
            <w:vAlign w:val="center"/>
          </w:tcPr>
          <w:p>
            <w:pPr>
              <w:pStyle w:val="TableContents"/>
              <w:bidi w:val="0"/>
              <w:spacing w:before="0" w:after="30"/>
              <w:ind w:left="0" w:right="0" w:hanging="0"/>
              <w:jc w:val="left"/>
              <w:rPr/>
            </w:pPr>
            <w:r>
              <w:rPr/>
              <w:t>​</w:t>
            </w:r>
          </w:p>
        </w:tc>
        <w:tc>
          <w:tcPr>
            <w:tcW w:w="9073"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iXBRL and contained in Exhibit 101)</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accordance with Rule 406T of Regulation S-T, the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97" w:name="SIGNATURES_522488"/>
      <w:bookmarkStart w:id="1098" w:name="_78e68f22_abc7_4cb9_82cf_cdca8052f33b"/>
      <w:bookmarkEnd w:id="1097"/>
      <w:bookmarkEnd w:id="1098"/>
      <w:r>
        <w:rPr>
          <w:rFonts w:ascii="Times New Roman;Times;serif" w:hAnsi="Times New Roman;Times;serif"/>
          <w:b/>
          <w:sz w:val="20"/>
        </w:rPr>
        <w:t>SIGNATURES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firstLine="360"/>
        <w:jc w:val="both"/>
        <w:rPr/>
      </w:pPr>
      <w:r>
        <w:rPr/>
        <w:t>​</w:t>
      </w:r>
    </w:p>
    <w:tbl>
      <w:tblPr>
        <w:tblW w:w="6288" w:type="dxa"/>
        <w:jc w:val="left"/>
        <w:tblInd w:w="0" w:type="dxa"/>
        <w:tblLayout w:type="fixed"/>
        <w:tblCellMar>
          <w:top w:w="0" w:type="dxa"/>
          <w:left w:w="0" w:type="dxa"/>
          <w:bottom w:w="0" w:type="dxa"/>
          <w:right w:w="0" w:type="dxa"/>
        </w:tblCellMar>
      </w:tblPr>
      <w:tblGrid>
        <w:gridCol w:w="556"/>
        <w:gridCol w:w="1351"/>
        <w:gridCol w:w="4381"/>
      </w:tblGrid>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4381" w:type="dxa"/>
            <w:tcBorders/>
            <w:vAlign w:val="center"/>
          </w:tcPr>
          <w:p>
            <w:pPr>
              <w:pStyle w:val="TableContents"/>
              <w:bidi w:val="0"/>
              <w:spacing w:before="0" w:after="0"/>
              <w:ind w:left="0" w:right="0" w:hanging="0"/>
              <w:jc w:val="left"/>
              <w:rPr/>
            </w:pPr>
            <w:r>
              <w:rPr/>
              <w:t>​</w:t>
            </w:r>
          </w:p>
        </w:tc>
      </w:tr>
      <w:tr>
        <w:trPr/>
        <w:tc>
          <w:tcPr>
            <w:tcW w:w="190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Star Holdings </w:t>
              <w:br/>
            </w:r>
            <w:r>
              <w:rPr>
                <w:rFonts w:ascii="Times New Roman;Times;serif" w:hAnsi="Times New Roman;Times;serif"/>
                <w:i/>
                <w:sz w:val="20"/>
              </w:rPr>
              <w:t>Registrant</w:t>
            </w:r>
          </w:p>
        </w:tc>
      </w:tr>
      <w:tr>
        <w:trPr/>
        <w:tc>
          <w:tcPr>
            <w:tcW w:w="190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240"/>
              <w:ind w:left="0" w:right="0" w:hanging="0"/>
              <w:jc w:val="center"/>
              <w:rPr/>
            </w:pPr>
            <w:r>
              <w:rPr/>
              <w:t>​</w:t>
            </w:r>
          </w:p>
        </w:tc>
      </w:tr>
      <w:tr>
        <w:trPr/>
        <w:tc>
          <w:tcPr>
            <w:tcW w:w="5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August 7, 2026</w:t>
            </w:r>
          </w:p>
        </w:tc>
        <w:tc>
          <w:tcPr>
            <w:tcW w:w="4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JAY SUGARMAN</w:t>
            </w:r>
          </w:p>
        </w:tc>
      </w:tr>
      <w:tr>
        <w:trPr/>
        <w:tc>
          <w:tcPr>
            <w:tcW w:w="190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Jay Sugarman</w:t>
            </w:r>
          </w:p>
        </w:tc>
      </w:tr>
      <w:tr>
        <w:trPr/>
        <w:tc>
          <w:tcPr>
            <w:tcW w:w="190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Executive Officer (principal executive officer)</w:t>
            </w:r>
          </w:p>
        </w:tc>
      </w:tr>
      <w:tr>
        <w:trPr/>
        <w:tc>
          <w:tcPr>
            <w:tcW w:w="190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240"/>
              <w:ind w:left="0" w:right="0" w:hanging="0"/>
              <w:jc w:val="both"/>
              <w:rPr/>
            </w:pPr>
            <w:r>
              <w:rPr/>
              <w:t>​</w:t>
            </w:r>
          </w:p>
        </w:tc>
      </w:tr>
      <w:tr>
        <w:trPr/>
        <w:tc>
          <w:tcPr>
            <w:tcW w:w="190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240"/>
              <w:ind w:left="0" w:right="0" w:hanging="0"/>
              <w:jc w:val="both"/>
              <w:rPr/>
            </w:pPr>
            <w:r>
              <w:rPr/>
              <w:t>​</w:t>
            </w:r>
          </w:p>
        </w:tc>
      </w:tr>
      <w:tr>
        <w:trPr/>
        <w:tc>
          <w:tcPr>
            <w:tcW w:w="190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240"/>
              <w:ind w:left="0" w:right="0" w:hanging="0"/>
              <w:jc w:val="center"/>
              <w:rPr/>
            </w:pPr>
            <w:r>
              <w:rPr/>
              <w:t>​</w:t>
            </w:r>
          </w:p>
        </w:tc>
      </w:tr>
      <w:tr>
        <w:trPr/>
        <w:tc>
          <w:tcPr>
            <w:tcW w:w="190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240"/>
              <w:ind w:left="0" w:right="0" w:hanging="0"/>
              <w:jc w:val="both"/>
              <w:rPr/>
            </w:pPr>
            <w:r>
              <w:rPr/>
              <w:t>​</w:t>
            </w:r>
          </w:p>
        </w:tc>
      </w:tr>
      <w:tr>
        <w:trPr/>
        <w:tc>
          <w:tcPr>
            <w:tcW w:w="190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240"/>
              <w:ind w:left="0" w:right="0" w:hanging="0"/>
              <w:jc w:val="both"/>
              <w:rPr/>
            </w:pPr>
            <w:r>
              <w:rPr/>
              <w:t>​</w:t>
            </w:r>
          </w:p>
        </w:tc>
      </w:tr>
      <w:tr>
        <w:trPr/>
        <w:tc>
          <w:tcPr>
            <w:tcW w:w="190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Holdings</w:t>
              <w:br/>
            </w:r>
            <w:r>
              <w:rPr>
                <w:rFonts w:ascii="Times New Roman;Times;serif" w:hAnsi="Times New Roman;Times;serif"/>
                <w:i/>
                <w:sz w:val="20"/>
              </w:rPr>
              <w:t>Registrant</w:t>
            </w:r>
          </w:p>
          <w:p>
            <w:pPr>
              <w:pStyle w:val="TableContents"/>
              <w:bidi w:val="0"/>
              <w:spacing w:before="0" w:after="240"/>
              <w:ind w:left="0" w:right="0" w:hanging="0"/>
              <w:jc w:val="both"/>
              <w:rPr/>
            </w:pPr>
            <w:r>
              <w:rPr/>
              <w:t>​</w:t>
            </w:r>
          </w:p>
        </w:tc>
      </w:tr>
      <w:tr>
        <w:trPr/>
        <w:tc>
          <w:tcPr>
            <w:tcW w:w="5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August 7, 2026</w:t>
            </w:r>
          </w:p>
        </w:tc>
        <w:tc>
          <w:tcPr>
            <w:tcW w:w="438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BRETT ASNAS</w:t>
            </w:r>
          </w:p>
        </w:tc>
      </w:tr>
      <w:tr>
        <w:trPr/>
        <w:tc>
          <w:tcPr>
            <w:tcW w:w="190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Brett Asnas</w:t>
            </w:r>
          </w:p>
        </w:tc>
      </w:tr>
      <w:tr>
        <w:trPr/>
        <w:tc>
          <w:tcPr>
            <w:tcW w:w="190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Financial Officer</w:t>
            </w:r>
          </w:p>
        </w:tc>
      </w:tr>
      <w:tr>
        <w:trPr/>
        <w:tc>
          <w:tcPr>
            <w:tcW w:w="190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officer)</w:t>
            </w:r>
          </w:p>
        </w:tc>
      </w:tr>
      <w:tr>
        <w:trPr/>
        <w:tc>
          <w:tcPr>
            <w:tcW w:w="190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240"/>
              <w:ind w:left="0" w:right="0" w:hanging="0"/>
              <w:jc w:val="center"/>
              <w:rPr/>
            </w:pPr>
            <w:r>
              <w:rPr/>
              <w:t>​</w:t>
            </w:r>
          </w:p>
        </w:tc>
      </w:tr>
      <w:tr>
        <w:trPr/>
        <w:tc>
          <w:tcPr>
            <w:tcW w:w="1907" w:type="dxa"/>
            <w:gridSpan w:val="2"/>
            <w:tcBorders/>
            <w:vAlign w:val="center"/>
          </w:tcPr>
          <w:p>
            <w:pPr>
              <w:pStyle w:val="TableContents"/>
              <w:bidi w:val="0"/>
              <w:spacing w:before="0" w:after="240"/>
              <w:ind w:left="0" w:right="0" w:hanging="0"/>
              <w:jc w:val="both"/>
              <w:rPr/>
            </w:pPr>
            <w:r>
              <w:rPr/>
              <w:t>​</w:t>
            </w:r>
          </w:p>
        </w:tc>
        <w:tc>
          <w:tcPr>
            <w:tcW w:w="4381" w:type="dxa"/>
            <w:tcBorders/>
            <w:vAlign w:val="center"/>
          </w:tcPr>
          <w:p>
            <w:pPr>
              <w:pStyle w:val="TableContents"/>
              <w:bidi w:val="0"/>
              <w:spacing w:before="0" w:after="240"/>
              <w:ind w:left="0" w:right="0" w:hanging="0"/>
              <w:jc w:val="center"/>
              <w:rPr/>
            </w:pPr>
            <w:r>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100"/>
        <w:ind w:left="0" w:right="0" w:hanging="0"/>
        <w:jc w:val="right"/>
        <w:rPr>
          <w:rFonts w:ascii="Times New Roman;Times;serif" w:hAnsi="Times New Roman;Times;serif"/>
          <w:b/>
          <w:sz w:val="20"/>
        </w:rPr>
      </w:pPr>
      <w:bookmarkStart w:id="1099" w:name="stho-20260630xex31d0.htm"/>
      <w:bookmarkStart w:id="1100" w:name="ksstho20260630xex31d0"/>
      <w:bookmarkEnd w:id="1099"/>
      <w:bookmarkEnd w:id="1100"/>
      <w:r>
        <w:rPr>
          <w:rFonts w:ascii="Times New Roman;Times;serif" w:hAnsi="Times New Roman;Times;serif"/>
          <w:b/>
          <w:sz w:val="20"/>
        </w:rPr>
        <w:t>Exhibit 31.0</w:t>
      </w:r>
      <w:r>
        <w:br w:type="page"/>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I, Jay Sugarman, certify that: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1. I have reviewed this quarterly report on Form 10-Q of Star Holdings;</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82"/>
        <w:ind w:left="360" w:right="0" w:firstLine="36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848" w:type="dxa"/>
        <w:jc w:val="left"/>
        <w:tblInd w:w="0" w:type="dxa"/>
        <w:tblLayout w:type="fixed"/>
        <w:tblCellMar>
          <w:top w:w="0" w:type="dxa"/>
          <w:left w:w="0" w:type="dxa"/>
          <w:bottom w:w="0" w:type="dxa"/>
          <w:right w:w="0" w:type="dxa"/>
        </w:tblCellMar>
      </w:tblPr>
      <w:tblGrid>
        <w:gridCol w:w="1891"/>
        <w:gridCol w:w="406"/>
        <w:gridCol w:w="2551"/>
      </w:tblGrid>
      <w:tr>
        <w:trPr/>
        <w:tc>
          <w:tcPr>
            <w:tcW w:w="18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7,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JAY SUGARMAN</w:t>
            </w:r>
          </w:p>
        </w:tc>
      </w:tr>
      <w:tr>
        <w:trPr/>
        <w:tc>
          <w:tcPr>
            <w:tcW w:w="18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Jay Sugarman</w:t>
            </w:r>
          </w:p>
        </w:tc>
      </w:tr>
      <w:tr>
        <w:trPr/>
        <w:tc>
          <w:tcPr>
            <w:tcW w:w="18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r>
              <w:rPr>
                <w:rFonts w:ascii="Times New Roman;Times;serif" w:hAnsi="Times New Roman;Times;serif"/>
                <w:i/>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I, Brett Asnas, certify that: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1. I have reviewed this quarterly report on Form 10-Q of Star Holdings;</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7173" w:type="dxa"/>
        <w:jc w:val="left"/>
        <w:tblInd w:w="0" w:type="dxa"/>
        <w:tblLayout w:type="fixed"/>
        <w:tblCellMar>
          <w:top w:w="0" w:type="dxa"/>
          <w:left w:w="0" w:type="dxa"/>
          <w:bottom w:w="0" w:type="dxa"/>
          <w:right w:w="0" w:type="dxa"/>
        </w:tblCellMar>
      </w:tblPr>
      <w:tblGrid>
        <w:gridCol w:w="1891"/>
        <w:gridCol w:w="406"/>
        <w:gridCol w:w="4876"/>
      </w:tblGrid>
      <w:tr>
        <w:trPr/>
        <w:tc>
          <w:tcPr>
            <w:tcW w:w="18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876"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7,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8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BRETT ASNAS</w:t>
            </w:r>
          </w:p>
        </w:tc>
      </w:tr>
      <w:tr>
        <w:trPr/>
        <w:tc>
          <w:tcPr>
            <w:tcW w:w="18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8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Brett Asnas</w:t>
            </w:r>
          </w:p>
        </w:tc>
      </w:tr>
      <w:tr>
        <w:trPr/>
        <w:tc>
          <w:tcPr>
            <w:tcW w:w="18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r>
              <w:rPr>
                <w:rFonts w:ascii="Times New Roman;Times;serif" w:hAnsi="Times New Roman;Times;serif"/>
                <w:i/>
                <w:sz w:val="20"/>
              </w:rPr>
              <w:t>Chief Financial Officer (principal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00"/>
        <w:ind w:left="0" w:right="0" w:hanging="0"/>
        <w:jc w:val="right"/>
        <w:rPr>
          <w:rFonts w:ascii="Times New Roman;Times;serif" w:hAnsi="Times New Roman;Times;serif"/>
          <w:b/>
          <w:sz w:val="20"/>
        </w:rPr>
      </w:pPr>
      <w:bookmarkStart w:id="1101" w:name="stho-20260630xex32d0.htm"/>
      <w:bookmarkStart w:id="1102" w:name="ksstho20260630xex32d0"/>
      <w:bookmarkEnd w:id="1101"/>
      <w:bookmarkEnd w:id="1102"/>
      <w:r>
        <w:rPr>
          <w:rFonts w:ascii="Times New Roman;Times;serif" w:hAnsi="Times New Roman;Times;serif"/>
          <w:b/>
          <w:sz w:val="20"/>
        </w:rPr>
        <w:t>Exhibit 32.0</w:t>
      </w:r>
      <w:r>
        <w:br w:type="page"/>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undersigned, the Chief Executive Officer of Star Holdings (the "Company"), hereby certifies on the date hereof, pursuant to 18 U.S.C. 1350, as adopted pursuant to Section 906 of The Sarbanes-Oxley Act of 2002, that the Quarterly Report on Form 10-Q for the quarter ended June 30, 2026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pStyle w:val="TextBody"/>
        <w:bidi w:val="0"/>
        <w:spacing w:before="0" w:after="0"/>
        <w:ind w:left="0" w:right="0" w:hanging="0"/>
        <w:jc w:val="left"/>
        <w:rPr/>
      </w:pPr>
      <w:r>
        <w:rPr/>
        <w:t>​</w:t>
      </w:r>
    </w:p>
    <w:tbl>
      <w:tblPr>
        <w:tblW w:w="4864" w:type="dxa"/>
        <w:jc w:val="left"/>
        <w:tblInd w:w="0" w:type="dxa"/>
        <w:tblLayout w:type="fixed"/>
        <w:tblCellMar>
          <w:top w:w="0" w:type="dxa"/>
          <w:left w:w="0" w:type="dxa"/>
          <w:bottom w:w="0" w:type="dxa"/>
          <w:right w:w="0" w:type="dxa"/>
        </w:tblCellMar>
      </w:tblPr>
      <w:tblGrid>
        <w:gridCol w:w="556"/>
        <w:gridCol w:w="1351"/>
        <w:gridCol w:w="406"/>
        <w:gridCol w:w="255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353060" cy="175260"/>
                      <wp:effectExtent l="0" t="0" r="0" b="0"/>
                      <wp:wrapNone/>
                      <wp:docPr id="291" name="Frame291"/>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857885" cy="175260"/>
                      <wp:effectExtent l="0" t="0" r="0" b="0"/>
                      <wp:wrapNone/>
                      <wp:docPr id="292" name="Frame292"/>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57810" cy="175260"/>
                      <wp:effectExtent l="0" t="0" r="0" b="0"/>
                      <wp:wrapNone/>
                      <wp:docPr id="293" name="Frame29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619885" cy="175260"/>
                      <wp:effectExtent l="0" t="0" r="0" b="0"/>
                      <wp:wrapNone/>
                      <wp:docPr id="294" name="Frame294"/>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7,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JAY SUGARMAN</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Jay Sugarman</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r>
              <w:rPr>
                <w:rFonts w:ascii="Times New Roman;Times;serif" w:hAnsi="Times New Roman;Times;serif"/>
                <w:i/>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The undersigned, the Chief Financial Officer of Star Holdings (the "Company"), hereby certifies on the date hereof, pursuant to 18 U.S.C. 1350, as adopted pursuant to Section 906 of The Sarbanes-Oxley Act of 2002, that the Quarterly Report on Form 10-Q for the quarter ended June 30, 2026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pStyle w:val="TextBody"/>
        <w:bidi w:val="0"/>
        <w:spacing w:before="0" w:after="0"/>
        <w:ind w:left="0" w:right="0" w:hanging="0"/>
        <w:jc w:val="left"/>
        <w:rPr/>
      </w:pPr>
      <w:r>
        <w:rPr/>
        <w:t>​</w:t>
      </w:r>
    </w:p>
    <w:tbl>
      <w:tblPr>
        <w:tblW w:w="7189" w:type="dxa"/>
        <w:jc w:val="left"/>
        <w:tblInd w:w="0" w:type="dxa"/>
        <w:tblLayout w:type="fixed"/>
        <w:tblCellMar>
          <w:top w:w="0" w:type="dxa"/>
          <w:left w:w="0" w:type="dxa"/>
          <w:bottom w:w="0" w:type="dxa"/>
          <w:right w:w="0" w:type="dxa"/>
        </w:tblCellMar>
      </w:tblPr>
      <w:tblGrid>
        <w:gridCol w:w="556"/>
        <w:gridCol w:w="1351"/>
        <w:gridCol w:w="406"/>
        <w:gridCol w:w="4876"/>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353060" cy="175260"/>
                      <wp:effectExtent l="0" t="0" r="0" b="0"/>
                      <wp:wrapNone/>
                      <wp:docPr id="295" name="Frame295"/>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857885" cy="175260"/>
                      <wp:effectExtent l="0" t="0" r="0" b="0"/>
                      <wp:wrapNone/>
                      <wp:docPr id="296" name="Frame296"/>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57810" cy="175260"/>
                      <wp:effectExtent l="0" t="0" r="0" b="0"/>
                      <wp:wrapNone/>
                      <wp:docPr id="297" name="Frame29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3096260" cy="175260"/>
                      <wp:effectExtent l="0" t="0" r="0" b="0"/>
                      <wp:wrapNone/>
                      <wp:docPr id="298" name="Frame298"/>
                      <a:graphic xmlns:a="http://schemas.openxmlformats.org/drawingml/2006/main">
                        <a:graphicData uri="http://schemas.microsoft.com/office/word/2010/wordprocessingShape">
                          <wps:wsp>
                            <wps:cNvSpPr txBox="1"/>
                            <wps:spPr>
                              <a:xfrm>
                                <a:off x="0" y="0"/>
                                <a:ext cx="309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7,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8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BRETT ASNAS</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8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Brett Asnas</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r>
              <w:rPr>
                <w:rFonts w:ascii="Times New Roman;Times;serif" w:hAnsi="Times New Roman;Times;serif"/>
                <w:i/>
                <w:sz w:val="20"/>
              </w:rPr>
              <w:t>Chief Financial Officer (principal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PSM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17005</Words>
  <Characters>92393</Characters>
  <CharactersWithSpaces>110995</CharactersWithSpaces>
  <Paragraphs>4443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